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Default Extension="jpeg" ContentType="image/jpeg"/>
  <Default Extension="png" ContentType="image/png"/>
  <Override PartName="/word/footer4.xml" ContentType="application/vnd.openxmlformats-officedocument.wordprocessingml.footer+xml"/>
  <Override PartName="/word/footer5.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2"/>
        <w:rPr>
          <w:rFonts w:ascii="Times New Roman"/>
          <w:sz w:val="22"/>
        </w:rPr>
      </w:pPr>
    </w:p>
    <w:p>
      <w:pPr>
        <w:spacing w:line="1173" w:lineRule="exact" w:before="0"/>
        <w:ind w:left="0" w:right="120" w:firstLine="0"/>
        <w:jc w:val="center"/>
        <w:rPr>
          <w:rFonts w:ascii="微软雅黑" w:eastAsia="微软雅黑" w:hint="eastAsia"/>
          <w:b/>
          <w:sz w:val="68"/>
        </w:rPr>
      </w:pPr>
      <w:r>
        <w:rPr>
          <w:rFonts w:ascii="微软雅黑" w:eastAsia="微软雅黑" w:hint="eastAsia"/>
          <w:b/>
          <w:sz w:val="68"/>
        </w:rPr>
        <w:t>新疆维吾尔自治区喀什市消防</w:t>
      </w:r>
    </w:p>
    <w:p>
      <w:pPr>
        <w:spacing w:line="1251" w:lineRule="exact" w:before="0"/>
        <w:ind w:left="0" w:right="117" w:firstLine="0"/>
        <w:jc w:val="center"/>
        <w:rPr>
          <w:rFonts w:ascii="微软雅黑" w:eastAsia="微软雅黑" w:hint="eastAsia"/>
          <w:b/>
          <w:sz w:val="68"/>
        </w:rPr>
      </w:pPr>
      <w:r>
        <w:rPr>
          <w:rFonts w:ascii="微软雅黑" w:eastAsia="微软雅黑" w:hint="eastAsia"/>
          <w:b/>
          <w:sz w:val="68"/>
        </w:rPr>
        <w:t>救援大队 </w:t>
      </w:r>
      <w:r>
        <w:rPr>
          <w:rFonts w:ascii="Times New Roman" w:eastAsia="Times New Roman"/>
          <w:b/>
          <w:sz w:val="68"/>
        </w:rPr>
        <w:t>2023 </w:t>
      </w:r>
      <w:r>
        <w:rPr>
          <w:rFonts w:ascii="微软雅黑" w:eastAsia="微软雅黑" w:hint="eastAsia"/>
          <w:b/>
          <w:sz w:val="68"/>
        </w:rPr>
        <w:t>年度部门预算</w:t>
      </w:r>
    </w:p>
    <w:p>
      <w:pPr>
        <w:pStyle w:val="BodyText"/>
        <w:rPr>
          <w:rFonts w:ascii="微软雅黑"/>
          <w:b/>
          <w:sz w:val="90"/>
        </w:rPr>
      </w:pPr>
    </w:p>
    <w:p>
      <w:pPr>
        <w:pStyle w:val="BodyText"/>
        <w:rPr>
          <w:rFonts w:ascii="微软雅黑"/>
          <w:b/>
          <w:sz w:val="90"/>
        </w:rPr>
      </w:pPr>
    </w:p>
    <w:p>
      <w:pPr>
        <w:pStyle w:val="BodyText"/>
        <w:spacing w:before="10"/>
        <w:rPr>
          <w:rFonts w:ascii="微软雅黑"/>
          <w:b/>
          <w:sz w:val="106"/>
        </w:rPr>
      </w:pPr>
    </w:p>
    <w:p>
      <w:pPr>
        <w:spacing w:before="0"/>
        <w:ind w:left="0" w:right="121" w:firstLine="0"/>
        <w:jc w:val="center"/>
        <w:rPr>
          <w:rFonts w:ascii="微软雅黑" w:eastAsia="微软雅黑" w:hint="eastAsia"/>
          <w:b/>
          <w:sz w:val="36"/>
        </w:rPr>
      </w:pPr>
      <w:r>
        <w:rPr>
          <w:rFonts w:ascii="微软雅黑" w:eastAsia="微软雅黑" w:hint="eastAsia"/>
          <w:b/>
          <w:sz w:val="36"/>
        </w:rPr>
        <w:t>二〇二三年七月</w:t>
      </w:r>
    </w:p>
    <w:p>
      <w:pPr>
        <w:spacing w:after="0"/>
        <w:jc w:val="center"/>
        <w:rPr>
          <w:rFonts w:ascii="微软雅黑" w:eastAsia="微软雅黑" w:hint="eastAsia"/>
          <w:sz w:val="36"/>
        </w:rPr>
        <w:sectPr>
          <w:footerReference w:type="default" r:id="rId5"/>
          <w:type w:val="continuous"/>
          <w:pgSz w:w="11910" w:h="16840"/>
          <w:pgMar w:footer="993" w:top="1580" w:bottom="1180" w:left="200" w:right="80"/>
          <w:pgNumType w:start="1"/>
        </w:sectPr>
      </w:pPr>
    </w:p>
    <w:p>
      <w:pPr>
        <w:pStyle w:val="BodyText"/>
        <w:spacing w:before="15"/>
        <w:rPr>
          <w:rFonts w:ascii="微软雅黑"/>
          <w:b/>
          <w:sz w:val="29"/>
        </w:rPr>
      </w:pPr>
    </w:p>
    <w:p>
      <w:pPr>
        <w:tabs>
          <w:tab w:pos="1303" w:val="left" w:leader="none"/>
        </w:tabs>
        <w:spacing w:before="28"/>
        <w:ind w:left="0" w:right="119" w:firstLine="0"/>
        <w:jc w:val="center"/>
        <w:rPr>
          <w:rFonts w:ascii="黑体" w:eastAsia="黑体" w:hint="eastAsia"/>
          <w:b/>
          <w:sz w:val="52"/>
        </w:rPr>
      </w:pPr>
      <w:r>
        <w:rPr>
          <w:rFonts w:ascii="黑体" w:eastAsia="黑体" w:hint="eastAsia"/>
          <w:b/>
          <w:sz w:val="52"/>
        </w:rPr>
        <w:t>目</w:t>
        <w:tab/>
        <w:t>录</w:t>
      </w:r>
    </w:p>
    <w:p>
      <w:pPr>
        <w:pStyle w:val="BodyText"/>
        <w:spacing w:before="8"/>
        <w:rPr>
          <w:rFonts w:ascii="黑体"/>
          <w:b/>
          <w:sz w:val="65"/>
        </w:rPr>
      </w:pPr>
    </w:p>
    <w:p>
      <w:pPr>
        <w:tabs>
          <w:tab w:pos="3738" w:val="left" w:leader="none"/>
        </w:tabs>
        <w:spacing w:before="0"/>
        <w:ind w:left="1938" w:right="0" w:firstLine="0"/>
        <w:jc w:val="left"/>
        <w:rPr>
          <w:rFonts w:ascii="黑体" w:eastAsia="黑体" w:hint="eastAsia"/>
          <w:sz w:val="36"/>
        </w:rPr>
      </w:pPr>
      <w:r>
        <w:rPr>
          <w:rFonts w:ascii="黑体" w:eastAsia="黑体" w:hint="eastAsia"/>
          <w:sz w:val="36"/>
        </w:rPr>
        <w:t>第一部分</w:t>
        <w:tab/>
        <w:t>喀什市消防救援大队概况</w:t>
      </w:r>
    </w:p>
    <w:p>
      <w:pPr>
        <w:pStyle w:val="BodyText"/>
        <w:spacing w:before="176"/>
        <w:ind w:left="1856"/>
      </w:pPr>
      <w:r>
        <w:rPr/>
        <w:t>一、主要职责</w:t>
      </w:r>
    </w:p>
    <w:p>
      <w:pPr>
        <w:pStyle w:val="BodyText"/>
        <w:spacing w:before="214"/>
        <w:ind w:left="1856"/>
      </w:pPr>
      <w:r>
        <w:rPr/>
        <w:t>二、部门预算单位构成</w:t>
      </w:r>
    </w:p>
    <w:p>
      <w:pPr>
        <w:tabs>
          <w:tab w:pos="3738" w:val="left" w:leader="none"/>
        </w:tabs>
        <w:spacing w:before="200"/>
        <w:ind w:left="1938" w:right="0" w:firstLine="0"/>
        <w:jc w:val="left"/>
        <w:rPr>
          <w:rFonts w:ascii="黑体" w:eastAsia="黑体" w:hint="eastAsia"/>
          <w:sz w:val="36"/>
        </w:rPr>
      </w:pPr>
      <w:r>
        <w:rPr>
          <w:rFonts w:ascii="黑体" w:eastAsia="黑体" w:hint="eastAsia"/>
          <w:sz w:val="36"/>
        </w:rPr>
        <w:t>第二部分</w:t>
        <w:tab/>
        <w:t>喀什市消防救援大队</w:t>
      </w:r>
      <w:r>
        <w:rPr>
          <w:rFonts w:ascii="黑体" w:eastAsia="黑体" w:hint="eastAsia"/>
          <w:spacing w:val="-92"/>
          <w:sz w:val="36"/>
        </w:rPr>
        <w:t> </w:t>
      </w:r>
      <w:r>
        <w:rPr>
          <w:rFonts w:ascii="Times New Roman" w:eastAsia="Times New Roman"/>
          <w:sz w:val="36"/>
        </w:rPr>
        <w:t>2023</w:t>
      </w:r>
      <w:r>
        <w:rPr>
          <w:rFonts w:ascii="Times New Roman" w:eastAsia="Times New Roman"/>
          <w:spacing w:val="1"/>
          <w:sz w:val="36"/>
        </w:rPr>
        <w:t> </w:t>
      </w:r>
      <w:r>
        <w:rPr>
          <w:rFonts w:ascii="黑体" w:eastAsia="黑体" w:hint="eastAsia"/>
          <w:sz w:val="36"/>
        </w:rPr>
        <w:t>年部门预算表</w:t>
      </w:r>
    </w:p>
    <w:p>
      <w:pPr>
        <w:pStyle w:val="BodyText"/>
        <w:spacing w:line="364" w:lineRule="auto" w:before="177"/>
        <w:ind w:left="1856" w:right="7206"/>
        <w:jc w:val="both"/>
      </w:pPr>
      <w:r>
        <w:rPr/>
        <w:t>一、部门收支总表二、部门收入总表三、部门支出总表</w:t>
      </w:r>
    </w:p>
    <w:p>
      <w:pPr>
        <w:pStyle w:val="BodyText"/>
        <w:spacing w:line="364" w:lineRule="auto" w:before="2"/>
        <w:ind w:left="1856" w:right="6246"/>
      </w:pPr>
      <w:r>
        <w:rPr/>
        <w:t>四、财政拨款收支总表 </w:t>
      </w:r>
      <w:r>
        <w:rPr>
          <w:spacing w:val="-2"/>
        </w:rPr>
        <w:t>五、一般公共预算支出表</w:t>
      </w:r>
    </w:p>
    <w:p>
      <w:pPr>
        <w:pStyle w:val="BodyText"/>
        <w:spacing w:line="364" w:lineRule="auto" w:before="2"/>
        <w:ind w:left="1856" w:right="5605"/>
      </w:pPr>
      <w:r>
        <w:rPr>
          <w:spacing w:val="-1"/>
        </w:rPr>
        <w:t>六、一般公共预算基本支出表</w:t>
      </w:r>
      <w:r>
        <w:rPr/>
        <w:t>七、政府性基金预算支出表 </w:t>
      </w:r>
      <w:r>
        <w:rPr>
          <w:spacing w:val="-1"/>
        </w:rPr>
        <w:t>八、国有资本经营预算支出表</w:t>
      </w:r>
    </w:p>
    <w:p>
      <w:pPr>
        <w:pStyle w:val="BodyText"/>
        <w:spacing w:before="2"/>
        <w:ind w:left="1856"/>
      </w:pPr>
      <w:r>
        <w:rPr/>
        <w:t>九、一般公共预算</w:t>
      </w:r>
      <w:r>
        <w:rPr>
          <w:rFonts w:ascii="Times New Roman" w:hAnsi="Times New Roman" w:eastAsia="Times New Roman"/>
        </w:rPr>
        <w:t>“</w:t>
      </w:r>
      <w:r>
        <w:rPr/>
        <w:t>三公</w:t>
      </w:r>
      <w:r>
        <w:rPr>
          <w:rFonts w:ascii="Times New Roman" w:hAnsi="Times New Roman" w:eastAsia="Times New Roman"/>
        </w:rPr>
        <w:t>”</w:t>
      </w:r>
      <w:r>
        <w:rPr/>
        <w:t>经费支出表</w:t>
      </w:r>
    </w:p>
    <w:p>
      <w:pPr>
        <w:tabs>
          <w:tab w:pos="3807" w:val="left" w:leader="none"/>
        </w:tabs>
        <w:spacing w:line="324" w:lineRule="auto" w:before="201"/>
        <w:ind w:left="1218" w:right="1337" w:firstLine="720"/>
        <w:jc w:val="left"/>
        <w:rPr>
          <w:rFonts w:ascii="黑体" w:eastAsia="黑体" w:hint="eastAsia"/>
          <w:sz w:val="36"/>
        </w:rPr>
      </w:pPr>
      <w:r>
        <w:rPr>
          <w:rFonts w:ascii="黑体" w:eastAsia="黑体" w:hint="eastAsia"/>
          <w:spacing w:val="12"/>
          <w:sz w:val="36"/>
        </w:rPr>
        <w:t>第三部</w:t>
      </w:r>
      <w:r>
        <w:rPr>
          <w:rFonts w:ascii="黑体" w:eastAsia="黑体" w:hint="eastAsia"/>
          <w:sz w:val="36"/>
        </w:rPr>
        <w:t>分</w:t>
        <w:tab/>
      </w:r>
      <w:r>
        <w:rPr>
          <w:rFonts w:ascii="黑体" w:eastAsia="黑体" w:hint="eastAsia"/>
          <w:spacing w:val="12"/>
          <w:sz w:val="36"/>
        </w:rPr>
        <w:t>喀什市消防救援大</w:t>
      </w:r>
      <w:r>
        <w:rPr>
          <w:rFonts w:ascii="黑体" w:eastAsia="黑体" w:hint="eastAsia"/>
          <w:sz w:val="36"/>
        </w:rPr>
        <w:t>队</w:t>
      </w:r>
      <w:r>
        <w:rPr>
          <w:rFonts w:ascii="黑体" w:eastAsia="黑体" w:hint="eastAsia"/>
          <w:spacing w:val="-80"/>
          <w:sz w:val="36"/>
        </w:rPr>
        <w:t> </w:t>
      </w:r>
      <w:r>
        <w:rPr>
          <w:rFonts w:ascii="Times New Roman" w:eastAsia="Times New Roman"/>
          <w:sz w:val="36"/>
        </w:rPr>
        <w:t>2023</w:t>
      </w:r>
      <w:r>
        <w:rPr>
          <w:rFonts w:ascii="Times New Roman" w:eastAsia="Times New Roman"/>
          <w:spacing w:val="13"/>
          <w:sz w:val="36"/>
        </w:rPr>
        <w:t> </w:t>
      </w:r>
      <w:r>
        <w:rPr>
          <w:rFonts w:ascii="黑体" w:eastAsia="黑体" w:hint="eastAsia"/>
          <w:spacing w:val="12"/>
          <w:sz w:val="36"/>
        </w:rPr>
        <w:t>年部门预算</w:t>
      </w:r>
      <w:r>
        <w:rPr>
          <w:rFonts w:ascii="黑体" w:eastAsia="黑体" w:hint="eastAsia"/>
          <w:spacing w:val="-17"/>
          <w:sz w:val="36"/>
        </w:rPr>
        <w:t>情</w:t>
      </w:r>
      <w:r>
        <w:rPr>
          <w:rFonts w:ascii="黑体" w:eastAsia="黑体" w:hint="eastAsia"/>
          <w:sz w:val="36"/>
        </w:rPr>
        <w:t>况说明</w:t>
      </w:r>
    </w:p>
    <w:p>
      <w:pPr>
        <w:tabs>
          <w:tab w:pos="3738" w:val="left" w:leader="none"/>
        </w:tabs>
        <w:spacing w:line="324" w:lineRule="auto" w:before="2"/>
        <w:ind w:left="1938" w:right="6445" w:firstLine="0"/>
        <w:jc w:val="left"/>
        <w:rPr>
          <w:rFonts w:ascii="黑体" w:eastAsia="黑体" w:hint="eastAsia"/>
          <w:sz w:val="36"/>
        </w:rPr>
      </w:pPr>
      <w:r>
        <w:rPr>
          <w:rFonts w:ascii="黑体" w:eastAsia="黑体" w:hint="eastAsia"/>
          <w:sz w:val="36"/>
        </w:rPr>
        <w:t>第四部分</w:t>
        <w:tab/>
        <w:t>名词解</w:t>
      </w:r>
      <w:r>
        <w:rPr>
          <w:rFonts w:ascii="黑体" w:eastAsia="黑体" w:hint="eastAsia"/>
          <w:spacing w:val="-17"/>
          <w:sz w:val="36"/>
        </w:rPr>
        <w:t>释</w:t>
      </w:r>
      <w:r>
        <w:rPr>
          <w:rFonts w:ascii="黑体" w:eastAsia="黑体" w:hint="eastAsia"/>
          <w:sz w:val="36"/>
        </w:rPr>
        <w:t>第五部分</w:t>
        <w:tab/>
        <w:t>附件</w:t>
      </w:r>
    </w:p>
    <w:p>
      <w:pPr>
        <w:spacing w:after="0" w:line="324" w:lineRule="auto"/>
        <w:jc w:val="left"/>
        <w:rPr>
          <w:rFonts w:ascii="黑体" w:eastAsia="黑体" w:hint="eastAsia"/>
          <w:sz w:val="36"/>
        </w:rPr>
        <w:sectPr>
          <w:pgSz w:w="11910" w:h="16840"/>
          <w:pgMar w:header="0" w:footer="993" w:top="1580" w:bottom="1180" w:left="200" w:right="80"/>
        </w:sectPr>
      </w:pPr>
    </w:p>
    <w:p>
      <w:pPr>
        <w:pStyle w:val="BodyText"/>
        <w:rPr>
          <w:rFonts w:ascii="黑体"/>
          <w:sz w:val="20"/>
        </w:rPr>
      </w:pPr>
      <w:r>
        <w:rPr/>
        <w:pict>
          <v:group style="position:absolute;margin-left:0pt;margin-top:.700024pt;width:569.450pt;height:841.2pt;mso-position-horizontal-relative:page;mso-position-vertical-relative:page;z-index:-255047680" coordorigin="0,14" coordsize="11389,16824">
            <v:shape style="position:absolute;left:3374;top:14;width:2;height:16824" coordorigin="3375,14" coordsize="0,16824" path="m3375,14l3375,6358m3375,9946l3375,16838e" filled="false" stroked="true" strokeweight="1.098941pt" strokecolor="#cccc00">
              <v:path arrowok="t"/>
              <v:stroke dashstyle="solid"/>
            </v:shape>
            <v:shape style="position:absolute;left:3218;top:14;width:420;height:16824" coordorigin="3219,14" coordsize="420,16824" path="m3639,14l3639,6358m3639,9946l3639,16838m3219,14l3219,6358m3219,9946l3219,16838e" filled="false" stroked="true" strokeweight="1.098941pt" strokecolor="#cccc00">
              <v:path arrowok="t"/>
              <v:stroke dashstyle="solid"/>
            </v:shape>
            <v:shape style="position:absolute;left:3498;top:14;width:2;height:16824" coordorigin="3498,14" coordsize="0,16824" path="m3498,14l3498,6358m3498,9946l3498,16838e" filled="false" stroked="true" strokeweight="1.049471pt" strokecolor="#cccc00">
              <v:path arrowok="t"/>
              <v:stroke dashstyle="solid"/>
            </v:shape>
            <v:rect style="position:absolute;left:0;top:6357;width:11381;height:3588" filled="true" fillcolor="#cc99ff" stroked="false">
              <v:fill type="solid"/>
            </v:rect>
            <v:shape style="position:absolute;left:0;top:6350;width:11389;height:3603" coordorigin="0,6351" coordsize="11389,3603" path="m11374,6366l0,6366,0,6351,11389,6351,11389,6358,11374,6358,11374,6366xm11374,9946l11374,6358,11381,6366,11389,6366,11389,9939,11381,9939,11374,9946xm11389,6366l11381,6366,11374,6358,11389,6358,11389,6366xm11389,9954l0,9954,0,9939,11374,9939,11374,9946,11389,9946,11389,9954xm11389,9946l11374,9946,11381,9939,11389,9939,11389,9946xe" filled="true" fillcolor="#000000" stroked="false">
              <v:path arrowok="t"/>
              <v:fill type="solid"/>
            </v:shape>
            <w10:wrap type="none"/>
          </v:group>
        </w:pict>
      </w:r>
      <w:r>
        <w:rPr/>
        <w:pict>
          <v:shape style="position:absolute;margin-left:318.924988pt;margin-top:.000049pt;width:250.85pt;height:842.3pt;mso-position-horizontal-relative:page;mso-position-vertical-relative:page;z-index:251659264"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94"/>
                  </w:tblGrid>
                  <w:tr>
                    <w:trPr>
                      <w:trHeight w:val="6357"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r>
                    <w:trPr>
                      <w:trHeight w:val="3587" w:hRule="atLeast"/>
                    </w:trPr>
                    <w:tc>
                      <w:tcPr>
                        <w:tcW w:w="4994" w:type="dxa"/>
                        <w:tcBorders>
                          <w:right w:val="single" w:sz="6" w:space="0" w:color="000000"/>
                        </w:tcBorders>
                        <w:shd w:val="clear" w:color="auto" w:fill="CC99FF"/>
                      </w:tcPr>
                      <w:p>
                        <w:pPr>
                          <w:pStyle w:val="TableParagraph"/>
                          <w:rPr>
                            <w:rFonts w:ascii="黑体"/>
                            <w:b/>
                            <w:sz w:val="52"/>
                          </w:rPr>
                        </w:pPr>
                      </w:p>
                      <w:p>
                        <w:pPr>
                          <w:pStyle w:val="TableParagraph"/>
                          <w:spacing w:before="11"/>
                          <w:rPr>
                            <w:rFonts w:ascii="黑体"/>
                            <w:b/>
                            <w:sz w:val="37"/>
                          </w:rPr>
                        </w:pPr>
                      </w:p>
                      <w:p>
                        <w:pPr>
                          <w:pStyle w:val="TableParagraph"/>
                          <w:ind w:left="-333"/>
                          <w:rPr>
                            <w:rFonts w:ascii="黑体" w:eastAsia="黑体" w:hint="eastAsia"/>
                            <w:b/>
                            <w:sz w:val="52"/>
                          </w:rPr>
                        </w:pPr>
                        <w:r>
                          <w:rPr>
                            <w:rFonts w:ascii="黑体" w:eastAsia="黑体" w:hint="eastAsia"/>
                            <w:b/>
                            <w:color w:val="FFFFFF"/>
                            <w:sz w:val="52"/>
                          </w:rPr>
                          <w:t>队概况</w:t>
                        </w:r>
                      </w:p>
                    </w:tc>
                  </w:tr>
                  <w:tr>
                    <w:trPr>
                      <w:trHeight w:val="6892"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bl>
                <w:p>
                  <w:pPr>
                    <w:pStyle w:val="BodyText"/>
                  </w:pPr>
                </w:p>
              </w:txbxContent>
            </v:textbox>
            <w10:wrap type="none"/>
          </v:shape>
        </w:pict>
      </w: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spacing w:before="5"/>
        <w:rPr>
          <w:rFonts w:ascii="黑体"/>
          <w:sz w:val="29"/>
        </w:rPr>
      </w:pPr>
    </w:p>
    <w:p>
      <w:pPr>
        <w:pStyle w:val="Heading1"/>
        <w:ind w:left="620"/>
      </w:pPr>
      <w:r>
        <w:rPr>
          <w:color w:val="FFFFFF"/>
        </w:rPr>
        <w:t>第一部分</w:t>
      </w:r>
    </w:p>
    <w:p>
      <w:pPr>
        <w:spacing w:before="270"/>
        <w:ind w:left="1669" w:right="0" w:firstLine="0"/>
        <w:jc w:val="left"/>
        <w:rPr>
          <w:rFonts w:ascii="黑体" w:eastAsia="黑体" w:hint="eastAsia"/>
          <w:b/>
          <w:sz w:val="52"/>
        </w:rPr>
      </w:pPr>
      <w:r>
        <w:rPr>
          <w:rFonts w:ascii="黑体" w:eastAsia="黑体" w:hint="eastAsia"/>
          <w:b/>
          <w:color w:val="FFFFFF"/>
          <w:sz w:val="52"/>
        </w:rPr>
        <w:t>喀什市消防救援大</w:t>
      </w:r>
    </w:p>
    <w:p>
      <w:pPr>
        <w:spacing w:after="0"/>
        <w:jc w:val="left"/>
        <w:rPr>
          <w:rFonts w:ascii="黑体" w:eastAsia="黑体" w:hint="eastAsia"/>
          <w:sz w:val="52"/>
        </w:rPr>
        <w:sectPr>
          <w:pgSz w:w="11910" w:h="16840"/>
          <w:pgMar w:header="0" w:footer="993" w:top="0" w:bottom="1180" w:left="200" w:right="80"/>
        </w:sectPr>
      </w:pPr>
    </w:p>
    <w:p>
      <w:pPr>
        <w:pStyle w:val="BodyText"/>
        <w:spacing w:before="39"/>
        <w:ind w:left="1856"/>
      </w:pPr>
      <w:r>
        <w:rPr/>
        <w:t>一、主要职责</w:t>
      </w:r>
    </w:p>
    <w:p>
      <w:pPr>
        <w:pStyle w:val="BodyText"/>
        <w:spacing w:line="364" w:lineRule="auto" w:before="125"/>
        <w:ind w:left="1218" w:right="1113" w:firstLine="638"/>
      </w:pPr>
      <w:r>
        <w:rPr/>
        <w:t>国家综合性消防救援队伍承担防范化解重大安全风险、应对处置各类灾害事故的重要职责，是应急救援的主力军和国家队。喀什市消防救援大队隶属喀什地区消防救援支队，实行准现役， 准军事化管理，坚持纪律队伍建设标准，严格管理、严格训练， 提升基础训练，练就科学高效、专业精准的过硬本领，召之即来， 战之必胜的消防救援队伍。依据有关法律法规履行下列职责：</w:t>
      </w:r>
    </w:p>
    <w:p>
      <w:pPr>
        <w:pStyle w:val="BodyText"/>
        <w:spacing w:line="364" w:lineRule="auto" w:before="5"/>
        <w:ind w:left="1218" w:right="1338" w:firstLine="638"/>
      </w:pPr>
      <w:r>
        <w:rPr>
          <w:spacing w:val="5"/>
          <w:w w:val="95"/>
        </w:rPr>
        <w:t>（一）</w:t>
      </w:r>
      <w:r>
        <w:rPr>
          <w:spacing w:val="4"/>
          <w:w w:val="95"/>
        </w:rPr>
        <w:t>承担城乡综合性消防救援工作，负责相关灾害事故救 </w:t>
      </w:r>
      <w:r>
        <w:rPr/>
        <w:t>援行动，承担重要会议、大型活动消防安全保卫工作。</w:t>
      </w:r>
    </w:p>
    <w:p>
      <w:pPr>
        <w:pStyle w:val="BodyText"/>
        <w:spacing w:line="364" w:lineRule="auto" w:before="1"/>
        <w:ind w:left="1218" w:right="1336" w:firstLine="638"/>
        <w:jc w:val="both"/>
      </w:pPr>
      <w:r>
        <w:rPr>
          <w:spacing w:val="5"/>
          <w:w w:val="95"/>
        </w:rPr>
        <w:t>（二）</w:t>
      </w:r>
      <w:r>
        <w:rPr>
          <w:spacing w:val="4"/>
          <w:w w:val="95"/>
        </w:rPr>
        <w:t>承担火灾预防、消防监督执法以及火灾事故调查处理 相关工作，依法行使消防安全综合监管职能，推动落实消防安全 </w:t>
      </w:r>
      <w:r>
        <w:rPr/>
        <w:t>责任制。</w:t>
      </w:r>
    </w:p>
    <w:p>
      <w:pPr>
        <w:pStyle w:val="BodyText"/>
        <w:spacing w:line="364" w:lineRule="auto" w:before="3"/>
        <w:ind w:left="1218" w:right="1336" w:firstLine="638"/>
        <w:jc w:val="both"/>
      </w:pPr>
      <w:r>
        <w:rPr>
          <w:spacing w:val="5"/>
          <w:w w:val="95"/>
        </w:rPr>
        <w:t>（三</w:t>
      </w:r>
      <w:r>
        <w:rPr>
          <w:spacing w:val="7"/>
          <w:w w:val="95"/>
        </w:rPr>
        <w:t>）</w:t>
      </w:r>
      <w:r>
        <w:rPr>
          <w:spacing w:val="4"/>
          <w:w w:val="95"/>
        </w:rPr>
        <w:t>深入贯彻《中华人民共和国消防法》和《消防安全责 </w:t>
      </w:r>
      <w:r>
        <w:rPr>
          <w:spacing w:val="5"/>
          <w:w w:val="95"/>
        </w:rPr>
        <w:t>任制实施办法》，将消防工作纳入乡镇（街道）</w:t>
      </w:r>
      <w:r>
        <w:rPr>
          <w:spacing w:val="1"/>
          <w:w w:val="95"/>
        </w:rPr>
        <w:t>党政领导安全生 </w:t>
      </w:r>
      <w:r>
        <w:rPr/>
        <w:t>产工作述职和“第一责任人”履职报告内容，压实领导责任。</w:t>
      </w:r>
    </w:p>
    <w:p>
      <w:pPr>
        <w:pStyle w:val="BodyText"/>
        <w:spacing w:line="364" w:lineRule="auto" w:before="2"/>
        <w:ind w:left="1218" w:right="1336" w:firstLine="638"/>
        <w:jc w:val="both"/>
      </w:pPr>
      <w:r>
        <w:rPr>
          <w:spacing w:val="5"/>
          <w:w w:val="95"/>
        </w:rPr>
        <w:t>（四</w:t>
      </w:r>
      <w:r>
        <w:rPr>
          <w:spacing w:val="7"/>
          <w:w w:val="95"/>
        </w:rPr>
        <w:t>）</w:t>
      </w:r>
      <w:r>
        <w:rPr>
          <w:spacing w:val="4"/>
          <w:w w:val="95"/>
        </w:rPr>
        <w:t>推进各行业监管部门落实“一岗双责”，强化部门会 商研判、联合执法，加强对消防工作的统筹协调和督促指导，着 </w:t>
      </w:r>
      <w:r>
        <w:rPr/>
        <w:t>力解决城乡消防发展失衡的问题。</w:t>
      </w:r>
    </w:p>
    <w:p>
      <w:pPr>
        <w:pStyle w:val="BodyText"/>
        <w:spacing w:before="2"/>
        <w:ind w:left="1856"/>
      </w:pPr>
      <w:r>
        <w:rPr/>
        <w:t>（五）负责消防安全宣传教育，组织指导社会消防力量建设。</w:t>
      </w:r>
    </w:p>
    <w:p>
      <w:pPr>
        <w:pStyle w:val="BodyText"/>
        <w:spacing w:line="364" w:lineRule="auto" w:before="214"/>
        <w:ind w:left="1218" w:right="1338" w:firstLine="638"/>
      </w:pPr>
      <w:r>
        <w:rPr>
          <w:spacing w:val="5"/>
          <w:w w:val="95"/>
        </w:rPr>
        <w:t>（六）</w:t>
      </w:r>
      <w:r>
        <w:rPr>
          <w:spacing w:val="4"/>
          <w:w w:val="95"/>
        </w:rPr>
        <w:t>负责消防应急救援专业队伍建设，参与组织协调动员 </w:t>
      </w:r>
      <w:r>
        <w:rPr/>
        <w:t>各类社会救援力量参加救援任务。</w:t>
      </w:r>
    </w:p>
    <w:p>
      <w:pPr>
        <w:pStyle w:val="BodyText"/>
        <w:spacing w:before="19"/>
        <w:ind w:left="1856"/>
      </w:pPr>
      <w:r>
        <w:rPr/>
        <w:t>（七）负责消防救援队伍建设与管理。积极开展消防安全检</w:t>
      </w:r>
    </w:p>
    <w:p>
      <w:pPr>
        <w:spacing w:after="0"/>
        <w:sectPr>
          <w:pgSz w:w="11910" w:h="16840"/>
          <w:pgMar w:header="0" w:footer="993" w:top="1520" w:bottom="1180" w:left="200" w:right="80"/>
        </w:sectPr>
      </w:pPr>
    </w:p>
    <w:p>
      <w:pPr>
        <w:pStyle w:val="BodyText"/>
        <w:spacing w:before="51"/>
        <w:ind w:left="1218"/>
      </w:pPr>
      <w:r>
        <w:rPr/>
        <w:t>查，督促整改火险隐患。组织调查火灾原因，处理火灾事故。</w:t>
      </w:r>
    </w:p>
    <w:p>
      <w:pPr>
        <w:pStyle w:val="BodyText"/>
        <w:spacing w:line="364" w:lineRule="auto" w:before="113"/>
        <w:ind w:left="1218" w:right="1338" w:firstLine="638"/>
      </w:pPr>
      <w:r>
        <w:rPr>
          <w:spacing w:val="5"/>
          <w:w w:val="95"/>
        </w:rPr>
        <w:t>（八）</w:t>
      </w:r>
      <w:r>
        <w:rPr>
          <w:spacing w:val="4"/>
          <w:w w:val="95"/>
        </w:rPr>
        <w:t>迅速接警出动，及时有效的扑灭各种火灾，努力减少 </w:t>
      </w:r>
      <w:r>
        <w:rPr/>
        <w:t>火灾损失，全力参加灭火以外的各种抢险救灾。</w:t>
      </w:r>
    </w:p>
    <w:p>
      <w:pPr>
        <w:pStyle w:val="BodyText"/>
        <w:spacing w:before="66"/>
        <w:ind w:left="1856"/>
      </w:pPr>
      <w:r>
        <w:rPr/>
        <w:t>二、部门预算单位构成</w:t>
      </w:r>
    </w:p>
    <w:p>
      <w:pPr>
        <w:pStyle w:val="BodyText"/>
        <w:spacing w:line="350" w:lineRule="auto" w:before="190"/>
        <w:ind w:left="1218" w:right="1288" w:firstLine="638"/>
        <w:jc w:val="both"/>
      </w:pPr>
      <w:r>
        <w:rPr/>
        <w:pict>
          <v:shape style="position:absolute;margin-left:69.809998pt;margin-top:91.550026pt;width:451.6pt;height:83pt;mso-position-horizontal-relative:page;mso-position-vertical-relative:paragraph;z-index:251660288"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17"/>
                    <w:gridCol w:w="6300"/>
                  </w:tblGrid>
                  <w:tr>
                    <w:trPr>
                      <w:trHeight w:val="340" w:hRule="atLeast"/>
                    </w:trPr>
                    <w:tc>
                      <w:tcPr>
                        <w:tcW w:w="2717" w:type="dxa"/>
                      </w:tcPr>
                      <w:p>
                        <w:pPr>
                          <w:pStyle w:val="TableParagraph"/>
                          <w:spacing w:line="304" w:lineRule="exact" w:before="15"/>
                          <w:ind w:left="1097" w:right="1087"/>
                          <w:jc w:val="center"/>
                          <w:rPr>
                            <w:rFonts w:ascii="黑体" w:eastAsia="黑体" w:hint="eastAsia"/>
                            <w:b/>
                            <w:sz w:val="24"/>
                          </w:rPr>
                        </w:pPr>
                        <w:r>
                          <w:rPr>
                            <w:rFonts w:ascii="黑体" w:eastAsia="黑体" w:hint="eastAsia"/>
                            <w:b/>
                            <w:sz w:val="24"/>
                          </w:rPr>
                          <w:t>序号</w:t>
                        </w:r>
                      </w:p>
                    </w:tc>
                    <w:tc>
                      <w:tcPr>
                        <w:tcW w:w="6300" w:type="dxa"/>
                      </w:tcPr>
                      <w:p>
                        <w:pPr>
                          <w:pStyle w:val="TableParagraph"/>
                          <w:spacing w:line="304" w:lineRule="exact" w:before="15"/>
                          <w:ind w:left="2048" w:right="2033"/>
                          <w:jc w:val="center"/>
                          <w:rPr>
                            <w:rFonts w:ascii="黑体" w:eastAsia="黑体" w:hint="eastAsia"/>
                            <w:b/>
                            <w:sz w:val="24"/>
                          </w:rPr>
                        </w:pPr>
                        <w:r>
                          <w:rPr>
                            <w:rFonts w:ascii="黑体" w:eastAsia="黑体" w:hint="eastAsia"/>
                            <w:b/>
                            <w:sz w:val="24"/>
                          </w:rPr>
                          <w:t>辖区消防站单位名称</w:t>
                        </w:r>
                      </w:p>
                    </w:tc>
                  </w:tr>
                  <w:tr>
                    <w:trPr>
                      <w:trHeight w:val="322" w:hRule="atLeast"/>
                    </w:trPr>
                    <w:tc>
                      <w:tcPr>
                        <w:tcW w:w="2717" w:type="dxa"/>
                      </w:tcPr>
                      <w:p>
                        <w:pPr>
                          <w:pStyle w:val="TableParagraph"/>
                          <w:spacing w:before="52"/>
                          <w:ind w:left="9"/>
                          <w:jc w:val="center"/>
                          <w:rPr>
                            <w:rFonts w:ascii="Times New Roman"/>
                            <w:sz w:val="20"/>
                          </w:rPr>
                        </w:pPr>
                        <w:r>
                          <w:rPr>
                            <w:rFonts w:ascii="Times New Roman"/>
                            <w:w w:val="99"/>
                            <w:sz w:val="20"/>
                          </w:rPr>
                          <w:t>1</w:t>
                        </w:r>
                      </w:p>
                    </w:tc>
                    <w:tc>
                      <w:tcPr>
                        <w:tcW w:w="6300" w:type="dxa"/>
                      </w:tcPr>
                      <w:p>
                        <w:pPr>
                          <w:pStyle w:val="TableParagraph"/>
                          <w:spacing w:before="27"/>
                          <w:ind w:left="2043" w:right="2033"/>
                          <w:jc w:val="center"/>
                          <w:rPr>
                            <w:sz w:val="20"/>
                          </w:rPr>
                        </w:pPr>
                        <w:r>
                          <w:rPr>
                            <w:sz w:val="20"/>
                          </w:rPr>
                          <w:t>世纪大道特勤站</w:t>
                        </w:r>
                      </w:p>
                    </w:tc>
                  </w:tr>
                  <w:tr>
                    <w:trPr>
                      <w:trHeight w:val="322" w:hRule="atLeast"/>
                    </w:trPr>
                    <w:tc>
                      <w:tcPr>
                        <w:tcW w:w="2717" w:type="dxa"/>
                      </w:tcPr>
                      <w:p>
                        <w:pPr>
                          <w:pStyle w:val="TableParagraph"/>
                          <w:spacing w:before="53"/>
                          <w:ind w:left="9"/>
                          <w:jc w:val="center"/>
                          <w:rPr>
                            <w:rFonts w:ascii="Times New Roman"/>
                            <w:sz w:val="20"/>
                          </w:rPr>
                        </w:pPr>
                        <w:r>
                          <w:rPr>
                            <w:rFonts w:ascii="Times New Roman"/>
                            <w:w w:val="99"/>
                            <w:sz w:val="20"/>
                          </w:rPr>
                          <w:t>2</w:t>
                        </w:r>
                      </w:p>
                    </w:tc>
                    <w:tc>
                      <w:tcPr>
                        <w:tcW w:w="6300" w:type="dxa"/>
                      </w:tcPr>
                      <w:p>
                        <w:pPr>
                          <w:pStyle w:val="TableParagraph"/>
                          <w:spacing w:before="25"/>
                          <w:ind w:left="2040" w:right="2033"/>
                          <w:jc w:val="center"/>
                          <w:rPr>
                            <w:sz w:val="20"/>
                          </w:rPr>
                        </w:pPr>
                        <w:r>
                          <w:rPr>
                            <w:sz w:val="20"/>
                          </w:rPr>
                          <w:t>健康路消防救援站</w:t>
                        </w:r>
                      </w:p>
                    </w:tc>
                  </w:tr>
                  <w:tr>
                    <w:trPr>
                      <w:trHeight w:val="322" w:hRule="atLeast"/>
                    </w:trPr>
                    <w:tc>
                      <w:tcPr>
                        <w:tcW w:w="2717" w:type="dxa"/>
                      </w:tcPr>
                      <w:p>
                        <w:pPr>
                          <w:pStyle w:val="TableParagraph"/>
                          <w:spacing w:before="52"/>
                          <w:ind w:left="9"/>
                          <w:jc w:val="center"/>
                          <w:rPr>
                            <w:rFonts w:ascii="Times New Roman"/>
                            <w:sz w:val="20"/>
                          </w:rPr>
                        </w:pPr>
                        <w:r>
                          <w:rPr>
                            <w:rFonts w:ascii="Times New Roman"/>
                            <w:w w:val="99"/>
                            <w:sz w:val="20"/>
                          </w:rPr>
                          <w:t>3</w:t>
                        </w:r>
                      </w:p>
                    </w:tc>
                    <w:tc>
                      <w:tcPr>
                        <w:tcW w:w="6300" w:type="dxa"/>
                      </w:tcPr>
                      <w:p>
                        <w:pPr>
                          <w:pStyle w:val="TableParagraph"/>
                          <w:spacing w:before="27"/>
                          <w:ind w:left="2040" w:right="2033"/>
                          <w:jc w:val="center"/>
                          <w:rPr>
                            <w:sz w:val="20"/>
                          </w:rPr>
                        </w:pPr>
                        <w:r>
                          <w:rPr>
                            <w:sz w:val="20"/>
                          </w:rPr>
                          <w:t>天山路消防救援站</w:t>
                        </w:r>
                      </w:p>
                    </w:tc>
                  </w:tr>
                  <w:tr>
                    <w:trPr>
                      <w:trHeight w:val="292" w:hRule="atLeast"/>
                    </w:trPr>
                    <w:tc>
                      <w:tcPr>
                        <w:tcW w:w="2717" w:type="dxa"/>
                      </w:tcPr>
                      <w:p>
                        <w:pPr>
                          <w:pStyle w:val="TableParagraph"/>
                          <w:spacing w:before="38"/>
                          <w:ind w:left="9"/>
                          <w:jc w:val="center"/>
                          <w:rPr>
                            <w:rFonts w:ascii="Times New Roman"/>
                            <w:sz w:val="20"/>
                          </w:rPr>
                        </w:pPr>
                        <w:r>
                          <w:rPr>
                            <w:rFonts w:ascii="Times New Roman"/>
                            <w:w w:val="99"/>
                            <w:sz w:val="20"/>
                          </w:rPr>
                          <w:t>4</w:t>
                        </w:r>
                      </w:p>
                    </w:tc>
                    <w:tc>
                      <w:tcPr>
                        <w:tcW w:w="6300" w:type="dxa"/>
                      </w:tcPr>
                      <w:p>
                        <w:pPr>
                          <w:pStyle w:val="TableParagraph"/>
                          <w:spacing w:before="10"/>
                          <w:ind w:left="2043" w:right="2033"/>
                          <w:jc w:val="center"/>
                          <w:rPr>
                            <w:sz w:val="20"/>
                          </w:rPr>
                        </w:pPr>
                        <w:r>
                          <w:rPr>
                            <w:sz w:val="20"/>
                          </w:rPr>
                          <w:t>古城消防救援站</w:t>
                        </w:r>
                      </w:p>
                    </w:tc>
                  </w:tr>
                </w:tbl>
                <w:p>
                  <w:pPr>
                    <w:pStyle w:val="BodyText"/>
                  </w:pPr>
                </w:p>
              </w:txbxContent>
            </v:textbox>
            <w10:wrap type="none"/>
          </v:shape>
        </w:pict>
      </w:r>
      <w:r>
        <w:rPr/>
        <w:t>从预算单位构成看， 喀什市消防救援大队为四级预算单位， 辖区共设有四个消防站，分别是世纪大道特勤站、健康路消防救援站、天山路消防救援站、古城消防救援站。</w:t>
      </w:r>
    </w:p>
    <w:p>
      <w:pPr>
        <w:spacing w:after="0" w:line="350" w:lineRule="auto"/>
        <w:jc w:val="both"/>
        <w:sectPr>
          <w:pgSz w:w="11910" w:h="16840"/>
          <w:pgMar w:header="0" w:footer="993" w:top="1460" w:bottom="1180" w:left="200" w:right="80"/>
        </w:sectPr>
      </w:pPr>
    </w:p>
    <w:p>
      <w:pPr>
        <w:pStyle w:val="BodyText"/>
        <w:rPr>
          <w:sz w:val="20"/>
        </w:rPr>
      </w:pPr>
      <w:r>
        <w:rPr/>
        <w:pict>
          <v:group style="position:absolute;margin-left:0pt;margin-top:.000049pt;width:573.85pt;height:840.1pt;mso-position-horizontal-relative:page;mso-position-vertical-relative:page;z-index:-255044608" coordorigin="0,0" coordsize="11477,16802">
            <v:shape style="position:absolute;left:3249;top:0;width:420;height:16802" coordorigin="3249,0" coordsize="420,16802" path="m3405,0l3405,6350m3405,9938l3405,16802m3669,0l3669,6350m3669,9938l3669,16802m3249,0l3249,6350m3249,9938l3249,16802e" filled="false" stroked="true" strokeweight="1.099727pt" strokecolor="#cccc00">
              <v:path arrowok="t"/>
              <v:stroke dashstyle="solid"/>
            </v:shape>
            <v:shape style="position:absolute;left:3528;top:0;width:2;height:16802" coordorigin="3529,0" coordsize="0,16802" path="m3529,0l3529,6350m3529,9938l3529,16802e" filled="false" stroked="true" strokeweight="1.049863pt" strokecolor="#cccc00">
              <v:path arrowok="t"/>
              <v:stroke dashstyle="solid"/>
            </v:shape>
            <v:rect style="position:absolute;left:0;top:6350;width:11470;height:3588" filled="true" fillcolor="#cc99ff" stroked="false">
              <v:fill type="solid"/>
            </v:rect>
            <v:shape style="position:absolute;left:0;top:6342;width:11477;height:3603" coordorigin="0,6343" coordsize="11477,3603" path="m11462,6358l0,6358,0,6343,11477,6343,11477,6350,11462,6350,11462,6358xm11462,9938l11462,6350,11469,6358,11477,6358,11477,9931,11469,9931,11462,9938xm11477,6358l11469,6358,11462,6350,11477,6350,11477,6358xm11477,9946l0,9946,0,9931,11462,9931,11462,9938,11477,9938,11477,9946xm11477,9938l11462,9938,11469,9931,11477,9931,11477,9938xe" filled="true" fillcolor="#000000" stroked="false">
              <v:path arrowok="t"/>
              <v:fill type="solid"/>
            </v:shape>
            <w10:wrap type="none"/>
          </v:group>
        </w:pict>
      </w:r>
      <w:r>
        <w:rPr/>
        <w:pict>
          <v:shape style="position:absolute;margin-left:323.825012pt;margin-top:.000049pt;width:250.85pt;height:842.3pt;mso-position-horizontal-relative:page;mso-position-vertical-relative:page;z-index:251662336"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94"/>
                  </w:tblGrid>
                  <w:tr>
                    <w:trPr>
                      <w:trHeight w:val="6350"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50"/>
                          </w:rPr>
                        </w:pPr>
                      </w:p>
                    </w:tc>
                  </w:tr>
                  <w:tr>
                    <w:trPr>
                      <w:trHeight w:val="3587" w:hRule="atLeast"/>
                    </w:trPr>
                    <w:tc>
                      <w:tcPr>
                        <w:tcW w:w="4994" w:type="dxa"/>
                        <w:tcBorders>
                          <w:right w:val="single" w:sz="6" w:space="0" w:color="000000"/>
                        </w:tcBorders>
                        <w:shd w:val="clear" w:color="auto" w:fill="CC99FF"/>
                      </w:tcPr>
                      <w:p>
                        <w:pPr>
                          <w:pStyle w:val="TableParagraph"/>
                          <w:rPr>
                            <w:rFonts w:ascii="黑体"/>
                            <w:b/>
                            <w:sz w:val="52"/>
                          </w:rPr>
                        </w:pPr>
                      </w:p>
                      <w:p>
                        <w:pPr>
                          <w:pStyle w:val="TableParagraph"/>
                          <w:spacing w:before="8"/>
                          <w:rPr>
                            <w:rFonts w:ascii="黑体"/>
                            <w:b/>
                            <w:sz w:val="37"/>
                          </w:rPr>
                        </w:pPr>
                      </w:p>
                      <w:p>
                        <w:pPr>
                          <w:pStyle w:val="TableParagraph"/>
                          <w:ind w:left="-21"/>
                          <w:rPr>
                            <w:rFonts w:ascii="黑体" w:eastAsia="黑体" w:hint="eastAsia"/>
                            <w:b/>
                            <w:sz w:val="52"/>
                          </w:rPr>
                        </w:pPr>
                        <w:r>
                          <w:rPr>
                            <w:rFonts w:ascii="黑体" w:eastAsia="黑体" w:hint="eastAsia"/>
                            <w:b/>
                            <w:color w:val="FFFFFF"/>
                            <w:sz w:val="52"/>
                          </w:rPr>
                          <w:t>2023 年部门预算表</w:t>
                        </w:r>
                      </w:p>
                    </w:tc>
                  </w:tr>
                  <w:tr>
                    <w:trPr>
                      <w:trHeight w:val="6899"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50"/>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28"/>
        </w:rPr>
      </w:pPr>
    </w:p>
    <w:p>
      <w:pPr>
        <w:pStyle w:val="Heading1"/>
        <w:ind w:left="119"/>
      </w:pPr>
      <w:r>
        <w:rPr>
          <w:color w:val="FFFFFF"/>
        </w:rPr>
        <w:t>第二部分</w:t>
      </w:r>
    </w:p>
    <w:p>
      <w:pPr>
        <w:spacing w:before="270"/>
        <w:ind w:left="1427" w:right="0" w:firstLine="0"/>
        <w:jc w:val="left"/>
        <w:rPr>
          <w:rFonts w:ascii="黑体" w:eastAsia="黑体" w:hint="eastAsia"/>
          <w:b/>
          <w:sz w:val="52"/>
        </w:rPr>
      </w:pPr>
      <w:r>
        <w:rPr>
          <w:rFonts w:ascii="黑体" w:eastAsia="黑体" w:hint="eastAsia"/>
          <w:b/>
          <w:color w:val="FFFFFF"/>
          <w:sz w:val="52"/>
        </w:rPr>
        <w:t>喀什市消防救援大队</w:t>
      </w:r>
    </w:p>
    <w:p>
      <w:pPr>
        <w:spacing w:after="0"/>
        <w:jc w:val="left"/>
        <w:rPr>
          <w:rFonts w:ascii="黑体" w:eastAsia="黑体" w:hint="eastAsia"/>
          <w:sz w:val="52"/>
        </w:rPr>
        <w:sectPr>
          <w:footerReference w:type="default" r:id="rId6"/>
          <w:pgSz w:w="11910" w:h="16840"/>
          <w:pgMar w:footer="273" w:header="0" w:top="0" w:bottom="460" w:left="200" w:right="80"/>
          <w:pgNumType w:start="6"/>
        </w:sectPr>
      </w:pPr>
    </w:p>
    <w:p>
      <w:pPr>
        <w:pStyle w:val="BodyText"/>
        <w:spacing w:before="6"/>
        <w:rPr>
          <w:rFonts w:ascii="黑体"/>
          <w:b/>
          <w:sz w:val="10"/>
        </w:rPr>
      </w:pPr>
    </w:p>
    <w:p>
      <w:pPr>
        <w:pStyle w:val="Heading2"/>
        <w:spacing w:before="33"/>
        <w:ind w:right="960"/>
        <w:jc w:val="center"/>
      </w:pPr>
      <w:r>
        <w:rPr/>
        <w:t>部门收支总表</w:t>
      </w:r>
    </w:p>
    <w:p>
      <w:pPr>
        <w:tabs>
          <w:tab w:pos="9960" w:val="left" w:leader="none"/>
        </w:tabs>
        <w:spacing w:before="69" w:after="49"/>
        <w:ind w:left="835" w:right="0" w:firstLine="0"/>
        <w:jc w:val="center"/>
        <w:rPr>
          <w:sz w:val="18"/>
        </w:rPr>
      </w:pPr>
      <w:r>
        <w:rPr>
          <w:sz w:val="18"/>
        </w:rPr>
        <w:t>单位：</w:t>
      </w:r>
      <w:r>
        <w:rPr>
          <w:spacing w:val="-2"/>
          <w:sz w:val="18"/>
        </w:rPr>
        <w:t> </w:t>
      </w:r>
      <w:r>
        <w:rPr>
          <w:sz w:val="18"/>
        </w:rPr>
        <w:t>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20"/>
        <w:gridCol w:w="1961"/>
        <w:gridCol w:w="3049"/>
        <w:gridCol w:w="1926"/>
      </w:tblGrid>
      <w:tr>
        <w:trPr>
          <w:trHeight w:val="390" w:hRule="atLeast"/>
        </w:trPr>
        <w:tc>
          <w:tcPr>
            <w:tcW w:w="5081" w:type="dxa"/>
            <w:gridSpan w:val="2"/>
          </w:tcPr>
          <w:p>
            <w:pPr>
              <w:pStyle w:val="TableParagraph"/>
              <w:tabs>
                <w:tab w:pos="726" w:val="left" w:leader="none"/>
              </w:tabs>
              <w:spacing w:before="87"/>
              <w:ind w:left="6"/>
              <w:jc w:val="center"/>
              <w:rPr>
                <w:sz w:val="18"/>
              </w:rPr>
            </w:pPr>
            <w:r>
              <w:rPr>
                <w:sz w:val="18"/>
              </w:rPr>
              <w:t>收</w:t>
              <w:tab/>
              <w:t>入</w:t>
            </w:r>
          </w:p>
        </w:tc>
        <w:tc>
          <w:tcPr>
            <w:tcW w:w="4975" w:type="dxa"/>
            <w:gridSpan w:val="2"/>
          </w:tcPr>
          <w:p>
            <w:pPr>
              <w:pStyle w:val="TableParagraph"/>
              <w:tabs>
                <w:tab w:pos="726" w:val="left" w:leader="none"/>
              </w:tabs>
              <w:spacing w:before="87"/>
              <w:ind w:left="6"/>
              <w:jc w:val="center"/>
              <w:rPr>
                <w:sz w:val="18"/>
              </w:rPr>
            </w:pPr>
            <w:r>
              <w:rPr>
                <w:sz w:val="18"/>
              </w:rPr>
              <w:t>支</w:t>
              <w:tab/>
              <w:t>出</w:t>
            </w:r>
          </w:p>
        </w:tc>
      </w:tr>
      <w:tr>
        <w:trPr>
          <w:trHeight w:val="390" w:hRule="atLeast"/>
        </w:trPr>
        <w:tc>
          <w:tcPr>
            <w:tcW w:w="3120" w:type="dxa"/>
          </w:tcPr>
          <w:p>
            <w:pPr>
              <w:pStyle w:val="TableParagraph"/>
              <w:spacing w:before="87"/>
              <w:ind w:left="1360" w:right="1349"/>
              <w:jc w:val="center"/>
              <w:rPr>
                <w:sz w:val="18"/>
              </w:rPr>
            </w:pPr>
            <w:r>
              <w:rPr>
                <w:sz w:val="18"/>
              </w:rPr>
              <w:t>项目</w:t>
            </w:r>
          </w:p>
        </w:tc>
        <w:tc>
          <w:tcPr>
            <w:tcW w:w="1961" w:type="dxa"/>
          </w:tcPr>
          <w:p>
            <w:pPr>
              <w:pStyle w:val="TableParagraph"/>
              <w:spacing w:before="87"/>
              <w:ind w:right="700"/>
              <w:jc w:val="right"/>
              <w:rPr>
                <w:sz w:val="18"/>
              </w:rPr>
            </w:pPr>
            <w:r>
              <w:rPr>
                <w:sz w:val="18"/>
              </w:rPr>
              <w:t>预算数</w:t>
            </w:r>
          </w:p>
        </w:tc>
        <w:tc>
          <w:tcPr>
            <w:tcW w:w="3049" w:type="dxa"/>
          </w:tcPr>
          <w:p>
            <w:pPr>
              <w:pStyle w:val="TableParagraph"/>
              <w:spacing w:before="87"/>
              <w:ind w:left="1324" w:right="1314"/>
              <w:jc w:val="center"/>
              <w:rPr>
                <w:sz w:val="18"/>
              </w:rPr>
            </w:pPr>
            <w:r>
              <w:rPr>
                <w:sz w:val="18"/>
              </w:rPr>
              <w:t>项目</w:t>
            </w:r>
          </w:p>
        </w:tc>
        <w:tc>
          <w:tcPr>
            <w:tcW w:w="1926" w:type="dxa"/>
          </w:tcPr>
          <w:p>
            <w:pPr>
              <w:pStyle w:val="TableParagraph"/>
              <w:spacing w:before="87"/>
              <w:ind w:left="693"/>
              <w:rPr>
                <w:sz w:val="18"/>
              </w:rPr>
            </w:pPr>
            <w:r>
              <w:rPr>
                <w:sz w:val="18"/>
              </w:rPr>
              <w:t>预算数</w:t>
            </w:r>
          </w:p>
        </w:tc>
      </w:tr>
      <w:tr>
        <w:trPr>
          <w:trHeight w:val="390" w:hRule="atLeast"/>
        </w:trPr>
        <w:tc>
          <w:tcPr>
            <w:tcW w:w="3120" w:type="dxa"/>
          </w:tcPr>
          <w:p>
            <w:pPr>
              <w:pStyle w:val="TableParagraph"/>
              <w:spacing w:before="88"/>
              <w:ind w:left="15"/>
              <w:rPr>
                <w:sz w:val="18"/>
              </w:rPr>
            </w:pPr>
            <w:r>
              <w:rPr>
                <w:sz w:val="18"/>
              </w:rPr>
              <w:t>一、一般公共预算拨款收入</w:t>
            </w:r>
          </w:p>
        </w:tc>
        <w:tc>
          <w:tcPr>
            <w:tcW w:w="1961" w:type="dxa"/>
          </w:tcPr>
          <w:p>
            <w:pPr>
              <w:pStyle w:val="TableParagraph"/>
              <w:spacing w:before="109"/>
              <w:ind w:left="780" w:right="770"/>
              <w:jc w:val="center"/>
              <w:rPr>
                <w:rFonts w:ascii="Times New Roman"/>
                <w:sz w:val="16"/>
              </w:rPr>
            </w:pPr>
            <w:r>
              <w:rPr>
                <w:rFonts w:ascii="Times New Roman"/>
                <w:sz w:val="16"/>
              </w:rPr>
              <w:t>194</w:t>
            </w:r>
          </w:p>
        </w:tc>
        <w:tc>
          <w:tcPr>
            <w:tcW w:w="3049" w:type="dxa"/>
          </w:tcPr>
          <w:p>
            <w:pPr>
              <w:pStyle w:val="TableParagraph"/>
              <w:spacing w:before="88"/>
              <w:ind w:left="14"/>
              <w:rPr>
                <w:sz w:val="18"/>
              </w:rPr>
            </w:pPr>
            <w:r>
              <w:rPr>
                <w:sz w:val="18"/>
              </w:rPr>
              <w:t>一、社会保障和就业支出</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二、政府性基金预算拨款收入</w:t>
            </w:r>
          </w:p>
        </w:tc>
        <w:tc>
          <w:tcPr>
            <w:tcW w:w="1961" w:type="dxa"/>
          </w:tcPr>
          <w:p>
            <w:pPr>
              <w:pStyle w:val="TableParagraph"/>
              <w:rPr>
                <w:rFonts w:ascii="Times New Roman"/>
                <w:sz w:val="18"/>
              </w:rPr>
            </w:pPr>
          </w:p>
        </w:tc>
        <w:tc>
          <w:tcPr>
            <w:tcW w:w="3049" w:type="dxa"/>
          </w:tcPr>
          <w:p>
            <w:pPr>
              <w:pStyle w:val="TableParagraph"/>
              <w:spacing w:before="87"/>
              <w:ind w:left="14"/>
              <w:rPr>
                <w:sz w:val="18"/>
              </w:rPr>
            </w:pPr>
            <w:r>
              <w:rPr>
                <w:sz w:val="18"/>
              </w:rPr>
              <w:t>二、卫生健康支出</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三、国有资本经营预算拨款收入</w:t>
            </w:r>
          </w:p>
        </w:tc>
        <w:tc>
          <w:tcPr>
            <w:tcW w:w="1961" w:type="dxa"/>
          </w:tcPr>
          <w:p>
            <w:pPr>
              <w:pStyle w:val="TableParagraph"/>
              <w:rPr>
                <w:rFonts w:ascii="Times New Roman"/>
                <w:sz w:val="18"/>
              </w:rPr>
            </w:pPr>
          </w:p>
        </w:tc>
        <w:tc>
          <w:tcPr>
            <w:tcW w:w="3049" w:type="dxa"/>
          </w:tcPr>
          <w:p>
            <w:pPr>
              <w:pStyle w:val="TableParagraph"/>
              <w:spacing w:before="87"/>
              <w:ind w:left="14"/>
              <w:rPr>
                <w:sz w:val="18"/>
              </w:rPr>
            </w:pPr>
            <w:r>
              <w:rPr>
                <w:sz w:val="18"/>
              </w:rPr>
              <w:t>三、住房保障支出</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8"/>
              <w:ind w:left="15"/>
              <w:rPr>
                <w:sz w:val="18"/>
              </w:rPr>
            </w:pPr>
            <w:r>
              <w:rPr>
                <w:sz w:val="18"/>
              </w:rPr>
              <w:t>四、事业收入</w:t>
            </w:r>
          </w:p>
        </w:tc>
        <w:tc>
          <w:tcPr>
            <w:tcW w:w="1961" w:type="dxa"/>
          </w:tcPr>
          <w:p>
            <w:pPr>
              <w:pStyle w:val="TableParagraph"/>
              <w:rPr>
                <w:rFonts w:ascii="Times New Roman"/>
                <w:sz w:val="18"/>
              </w:rPr>
            </w:pPr>
          </w:p>
        </w:tc>
        <w:tc>
          <w:tcPr>
            <w:tcW w:w="3049" w:type="dxa"/>
          </w:tcPr>
          <w:p>
            <w:pPr>
              <w:pStyle w:val="TableParagraph"/>
              <w:spacing w:before="88"/>
              <w:ind w:left="14"/>
              <w:rPr>
                <w:sz w:val="18"/>
              </w:rPr>
            </w:pPr>
            <w:r>
              <w:rPr>
                <w:sz w:val="18"/>
              </w:rPr>
              <w:t>四、灾害防治及应急管理支出</w:t>
            </w:r>
          </w:p>
        </w:tc>
        <w:tc>
          <w:tcPr>
            <w:tcW w:w="1926" w:type="dxa"/>
          </w:tcPr>
          <w:p>
            <w:pPr>
              <w:pStyle w:val="TableParagraph"/>
              <w:spacing w:before="109"/>
              <w:ind w:left="743"/>
              <w:rPr>
                <w:rFonts w:ascii="Times New Roman"/>
                <w:sz w:val="16"/>
              </w:rPr>
            </w:pPr>
            <w:r>
              <w:rPr>
                <w:rFonts w:ascii="Times New Roman"/>
                <w:sz w:val="16"/>
              </w:rPr>
              <w:t>210.73</w:t>
            </w:r>
          </w:p>
        </w:tc>
      </w:tr>
      <w:tr>
        <w:trPr>
          <w:trHeight w:val="390" w:hRule="atLeast"/>
        </w:trPr>
        <w:tc>
          <w:tcPr>
            <w:tcW w:w="3120" w:type="dxa"/>
          </w:tcPr>
          <w:p>
            <w:pPr>
              <w:pStyle w:val="TableParagraph"/>
              <w:spacing w:before="87"/>
              <w:ind w:left="15"/>
              <w:rPr>
                <w:sz w:val="18"/>
              </w:rPr>
            </w:pPr>
            <w:r>
              <w:rPr>
                <w:sz w:val="18"/>
              </w:rPr>
              <w:t>五、事业单位经营收入</w:t>
            </w: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六、其他收入</w:t>
            </w: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rPr>
                <w:rFonts w:ascii="Times New Roman"/>
                <w:sz w:val="18"/>
              </w:rPr>
            </w:pP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410" w:hRule="atLeast"/>
        </w:trPr>
        <w:tc>
          <w:tcPr>
            <w:tcW w:w="3120" w:type="dxa"/>
          </w:tcPr>
          <w:p>
            <w:pPr>
              <w:pStyle w:val="TableParagraph"/>
              <w:spacing w:before="99"/>
              <w:ind w:left="1020"/>
              <w:rPr>
                <w:sz w:val="18"/>
              </w:rPr>
            </w:pPr>
            <w:r>
              <w:rPr>
                <w:sz w:val="18"/>
              </w:rPr>
              <w:t>本年收入合计</w:t>
            </w:r>
          </w:p>
        </w:tc>
        <w:tc>
          <w:tcPr>
            <w:tcW w:w="1961" w:type="dxa"/>
          </w:tcPr>
          <w:p>
            <w:pPr>
              <w:pStyle w:val="TableParagraph"/>
              <w:rPr>
                <w:rFonts w:ascii="Times New Roman"/>
                <w:sz w:val="18"/>
              </w:rPr>
            </w:pPr>
          </w:p>
        </w:tc>
        <w:tc>
          <w:tcPr>
            <w:tcW w:w="3049" w:type="dxa"/>
          </w:tcPr>
          <w:p>
            <w:pPr>
              <w:pStyle w:val="TableParagraph"/>
              <w:spacing w:before="99"/>
              <w:ind w:left="984"/>
              <w:rPr>
                <w:sz w:val="18"/>
              </w:rPr>
            </w:pPr>
            <w:r>
              <w:rPr>
                <w:sz w:val="18"/>
              </w:rPr>
              <w:t>本年支出合计</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使用非财政拨款结余</w:t>
            </w:r>
          </w:p>
        </w:tc>
        <w:tc>
          <w:tcPr>
            <w:tcW w:w="1961" w:type="dxa"/>
          </w:tcPr>
          <w:p>
            <w:pPr>
              <w:pStyle w:val="TableParagraph"/>
              <w:rPr>
                <w:rFonts w:ascii="Times New Roman"/>
                <w:sz w:val="18"/>
              </w:rPr>
            </w:pPr>
          </w:p>
        </w:tc>
        <w:tc>
          <w:tcPr>
            <w:tcW w:w="3049" w:type="dxa"/>
          </w:tcPr>
          <w:p>
            <w:pPr>
              <w:pStyle w:val="TableParagraph"/>
              <w:spacing w:before="87"/>
              <w:ind w:left="14"/>
              <w:rPr>
                <w:sz w:val="18"/>
              </w:rPr>
            </w:pPr>
            <w:r>
              <w:rPr>
                <w:sz w:val="18"/>
              </w:rPr>
              <w:t>结转下年（非财政拨款）</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上年结转</w:t>
            </w:r>
          </w:p>
        </w:tc>
        <w:tc>
          <w:tcPr>
            <w:tcW w:w="1961" w:type="dxa"/>
          </w:tcPr>
          <w:p>
            <w:pPr>
              <w:pStyle w:val="TableParagraph"/>
              <w:spacing w:before="111"/>
              <w:ind w:left="780" w:right="770"/>
              <w:jc w:val="center"/>
              <w:rPr>
                <w:rFonts w:ascii="Times New Roman"/>
                <w:sz w:val="16"/>
              </w:rPr>
            </w:pPr>
            <w:r>
              <w:rPr>
                <w:rFonts w:ascii="Times New Roman"/>
                <w:sz w:val="16"/>
              </w:rPr>
              <w:t>16.73</w:t>
            </w: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rPr>
                <w:rFonts w:ascii="Times New Roman"/>
                <w:sz w:val="18"/>
              </w:rPr>
            </w:pP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tabs>
                <w:tab w:pos="1200" w:val="left" w:leader="none"/>
                <w:tab w:pos="1740" w:val="left" w:leader="none"/>
                <w:tab w:pos="2280" w:val="left" w:leader="none"/>
              </w:tabs>
              <w:spacing w:before="87"/>
              <w:ind w:left="660"/>
              <w:rPr>
                <w:sz w:val="18"/>
              </w:rPr>
            </w:pPr>
            <w:r>
              <w:rPr>
                <w:sz w:val="18"/>
              </w:rPr>
              <w:t>收</w:t>
              <w:tab/>
              <w:t>入</w:t>
              <w:tab/>
              <w:t>总</w:t>
              <w:tab/>
              <w:t>计</w:t>
            </w:r>
          </w:p>
        </w:tc>
        <w:tc>
          <w:tcPr>
            <w:tcW w:w="1961" w:type="dxa"/>
          </w:tcPr>
          <w:p>
            <w:pPr>
              <w:pStyle w:val="TableParagraph"/>
              <w:spacing w:before="110"/>
              <w:ind w:right="749"/>
              <w:jc w:val="right"/>
              <w:rPr>
                <w:rFonts w:ascii="Times New Roman"/>
                <w:sz w:val="16"/>
              </w:rPr>
            </w:pPr>
            <w:r>
              <w:rPr>
                <w:rFonts w:ascii="Times New Roman"/>
                <w:sz w:val="16"/>
              </w:rPr>
              <w:t>210.73</w:t>
            </w:r>
          </w:p>
        </w:tc>
        <w:tc>
          <w:tcPr>
            <w:tcW w:w="3049" w:type="dxa"/>
          </w:tcPr>
          <w:p>
            <w:pPr>
              <w:pStyle w:val="TableParagraph"/>
              <w:tabs>
                <w:tab w:pos="1164" w:val="left" w:leader="none"/>
                <w:tab w:pos="1704" w:val="left" w:leader="none"/>
                <w:tab w:pos="2244" w:val="left" w:leader="none"/>
              </w:tabs>
              <w:spacing w:before="87"/>
              <w:ind w:left="624"/>
              <w:rPr>
                <w:sz w:val="18"/>
              </w:rPr>
            </w:pPr>
            <w:r>
              <w:rPr>
                <w:sz w:val="18"/>
              </w:rPr>
              <w:t>支</w:t>
              <w:tab/>
              <w:t>出</w:t>
              <w:tab/>
              <w:t>总</w:t>
              <w:tab/>
              <w:t>计</w:t>
            </w:r>
          </w:p>
        </w:tc>
        <w:tc>
          <w:tcPr>
            <w:tcW w:w="1926" w:type="dxa"/>
          </w:tcPr>
          <w:p>
            <w:pPr>
              <w:pStyle w:val="TableParagraph"/>
              <w:spacing w:before="110"/>
              <w:ind w:left="743"/>
              <w:rPr>
                <w:rFonts w:ascii="Times New Roman"/>
                <w:sz w:val="16"/>
              </w:rPr>
            </w:pPr>
            <w:r>
              <w:rPr>
                <w:rFonts w:ascii="Times New Roman"/>
                <w:sz w:val="16"/>
              </w:rPr>
              <w:t>210.73</w:t>
            </w:r>
          </w:p>
        </w:tc>
      </w:tr>
    </w:tbl>
    <w:p>
      <w:pPr>
        <w:spacing w:after="0"/>
        <w:rPr>
          <w:rFonts w:ascii="Times New Roman"/>
          <w:sz w:val="16"/>
        </w:rPr>
        <w:sectPr>
          <w:pgSz w:w="11910" w:h="16840"/>
          <w:pgMar w:header="0" w:footer="273" w:top="1580" w:bottom="460" w:left="200" w:right="80"/>
        </w:sectPr>
      </w:pPr>
    </w:p>
    <w:p>
      <w:pPr>
        <w:pStyle w:val="BodyText"/>
        <w:spacing w:before="12"/>
        <w:rPr>
          <w:sz w:val="14"/>
        </w:rPr>
      </w:pPr>
    </w:p>
    <w:p>
      <w:pPr>
        <w:pStyle w:val="Heading2"/>
        <w:spacing w:before="33"/>
        <w:ind w:left="1501" w:right="1374"/>
        <w:jc w:val="center"/>
      </w:pPr>
      <w:r>
        <w:rPr/>
        <w:t>部门收入总表</w:t>
      </w:r>
    </w:p>
    <w:p>
      <w:pPr>
        <w:tabs>
          <w:tab w:pos="8539" w:val="left" w:leader="none"/>
        </w:tabs>
        <w:spacing w:before="103" w:after="39"/>
        <w:ind w:left="125" w:right="0" w:firstLine="0"/>
        <w:jc w:val="center"/>
        <w:rPr>
          <w:sz w:val="18"/>
        </w:rPr>
      </w:pPr>
      <w:r>
        <w:rPr>
          <w:sz w:val="18"/>
        </w:rPr>
        <w:t>单位：</w:t>
      </w:r>
      <w:r>
        <w:rPr>
          <w:spacing w:val="-2"/>
          <w:sz w:val="18"/>
        </w:rPr>
        <w:t> </w:t>
      </w:r>
      <w:r>
        <w:rPr>
          <w:sz w:val="18"/>
        </w:rPr>
        <w:t>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55"/>
        <w:gridCol w:w="1320"/>
        <w:gridCol w:w="1125"/>
        <w:gridCol w:w="1050"/>
        <w:gridCol w:w="1245"/>
        <w:gridCol w:w="1125"/>
        <w:gridCol w:w="1125"/>
      </w:tblGrid>
      <w:tr>
        <w:trPr>
          <w:trHeight w:val="375" w:hRule="atLeast"/>
        </w:trPr>
        <w:tc>
          <w:tcPr>
            <w:tcW w:w="2355" w:type="dxa"/>
            <w:vMerge w:val="restart"/>
          </w:tcPr>
          <w:p>
            <w:pPr>
              <w:pStyle w:val="TableParagraph"/>
              <w:rPr>
                <w:sz w:val="18"/>
              </w:rPr>
            </w:pPr>
          </w:p>
          <w:p>
            <w:pPr>
              <w:pStyle w:val="TableParagraph"/>
              <w:spacing w:before="7"/>
              <w:rPr>
                <w:sz w:val="13"/>
              </w:rPr>
            </w:pPr>
          </w:p>
          <w:p>
            <w:pPr>
              <w:pStyle w:val="TableParagraph"/>
              <w:ind w:left="936" w:right="928"/>
              <w:jc w:val="center"/>
              <w:rPr>
                <w:sz w:val="18"/>
              </w:rPr>
            </w:pPr>
            <w:r>
              <w:rPr>
                <w:sz w:val="18"/>
              </w:rPr>
              <w:t>合计</w:t>
            </w:r>
          </w:p>
        </w:tc>
        <w:tc>
          <w:tcPr>
            <w:tcW w:w="3495" w:type="dxa"/>
            <w:gridSpan w:val="3"/>
          </w:tcPr>
          <w:p>
            <w:pPr>
              <w:pStyle w:val="TableParagraph"/>
              <w:spacing w:before="80"/>
              <w:ind w:left="1366" w:right="1357"/>
              <w:jc w:val="center"/>
              <w:rPr>
                <w:sz w:val="18"/>
              </w:rPr>
            </w:pPr>
            <w:r>
              <w:rPr>
                <w:sz w:val="18"/>
              </w:rPr>
              <w:t>上年结转</w:t>
            </w:r>
          </w:p>
        </w:tc>
        <w:tc>
          <w:tcPr>
            <w:tcW w:w="3495" w:type="dxa"/>
            <w:gridSpan w:val="3"/>
          </w:tcPr>
          <w:p>
            <w:pPr>
              <w:pStyle w:val="TableParagraph"/>
              <w:spacing w:before="80"/>
              <w:ind w:left="1366" w:right="1358"/>
              <w:jc w:val="center"/>
              <w:rPr>
                <w:sz w:val="18"/>
              </w:rPr>
            </w:pPr>
            <w:r>
              <w:rPr>
                <w:sz w:val="18"/>
              </w:rPr>
              <w:t>本年收入</w:t>
            </w:r>
          </w:p>
        </w:tc>
      </w:tr>
      <w:tr>
        <w:trPr>
          <w:trHeight w:val="638" w:hRule="atLeast"/>
        </w:trPr>
        <w:tc>
          <w:tcPr>
            <w:tcW w:w="2355" w:type="dxa"/>
            <w:vMerge/>
            <w:tcBorders>
              <w:top w:val="nil"/>
            </w:tcBorders>
          </w:tcPr>
          <w:p>
            <w:pPr>
              <w:rPr>
                <w:sz w:val="2"/>
                <w:szCs w:val="2"/>
              </w:rPr>
            </w:pPr>
          </w:p>
        </w:tc>
        <w:tc>
          <w:tcPr>
            <w:tcW w:w="1320" w:type="dxa"/>
          </w:tcPr>
          <w:p>
            <w:pPr>
              <w:pStyle w:val="TableParagraph"/>
              <w:spacing w:before="8"/>
              <w:rPr>
                <w:sz w:val="16"/>
              </w:rPr>
            </w:pPr>
          </w:p>
          <w:p>
            <w:pPr>
              <w:pStyle w:val="TableParagraph"/>
              <w:spacing w:before="1"/>
              <w:ind w:left="459" w:right="449"/>
              <w:jc w:val="center"/>
              <w:rPr>
                <w:sz w:val="18"/>
              </w:rPr>
            </w:pPr>
            <w:r>
              <w:rPr>
                <w:sz w:val="18"/>
              </w:rPr>
              <w:t>小计</w:t>
            </w:r>
          </w:p>
        </w:tc>
        <w:tc>
          <w:tcPr>
            <w:tcW w:w="1125" w:type="dxa"/>
          </w:tcPr>
          <w:p>
            <w:pPr>
              <w:pStyle w:val="TableParagraph"/>
              <w:spacing w:before="57"/>
              <w:ind w:left="8"/>
              <w:jc w:val="center"/>
              <w:rPr>
                <w:sz w:val="18"/>
              </w:rPr>
            </w:pPr>
            <w:r>
              <w:rPr>
                <w:sz w:val="18"/>
              </w:rPr>
              <w:t>一般公共预算</w:t>
            </w:r>
          </w:p>
          <w:p>
            <w:pPr>
              <w:pStyle w:val="TableParagraph"/>
              <w:spacing w:before="82"/>
              <w:ind w:left="8"/>
              <w:jc w:val="center"/>
              <w:rPr>
                <w:sz w:val="18"/>
              </w:rPr>
            </w:pPr>
            <w:r>
              <w:rPr>
                <w:sz w:val="18"/>
              </w:rPr>
              <w:t>结转资金</w:t>
            </w:r>
          </w:p>
        </w:tc>
        <w:tc>
          <w:tcPr>
            <w:tcW w:w="1050" w:type="dxa"/>
          </w:tcPr>
          <w:p>
            <w:pPr>
              <w:pStyle w:val="TableParagraph"/>
              <w:spacing w:before="8"/>
              <w:rPr>
                <w:sz w:val="16"/>
              </w:rPr>
            </w:pPr>
          </w:p>
          <w:p>
            <w:pPr>
              <w:pStyle w:val="TableParagraph"/>
              <w:spacing w:before="1"/>
              <w:ind w:left="163"/>
              <w:rPr>
                <w:sz w:val="18"/>
              </w:rPr>
            </w:pPr>
            <w:r>
              <w:rPr>
                <w:sz w:val="18"/>
              </w:rPr>
              <w:t>其他资金</w:t>
            </w:r>
          </w:p>
        </w:tc>
        <w:tc>
          <w:tcPr>
            <w:tcW w:w="1245" w:type="dxa"/>
          </w:tcPr>
          <w:p>
            <w:pPr>
              <w:pStyle w:val="TableParagraph"/>
              <w:spacing w:before="8"/>
              <w:rPr>
                <w:sz w:val="16"/>
              </w:rPr>
            </w:pPr>
          </w:p>
          <w:p>
            <w:pPr>
              <w:pStyle w:val="TableParagraph"/>
              <w:spacing w:before="1"/>
              <w:ind w:left="421" w:right="414"/>
              <w:jc w:val="center"/>
              <w:rPr>
                <w:sz w:val="18"/>
              </w:rPr>
            </w:pPr>
            <w:r>
              <w:rPr>
                <w:sz w:val="18"/>
              </w:rPr>
              <w:t>小计</w:t>
            </w:r>
          </w:p>
        </w:tc>
        <w:tc>
          <w:tcPr>
            <w:tcW w:w="1125" w:type="dxa"/>
          </w:tcPr>
          <w:p>
            <w:pPr>
              <w:pStyle w:val="TableParagraph"/>
              <w:spacing w:before="57"/>
              <w:ind w:left="8"/>
              <w:jc w:val="center"/>
              <w:rPr>
                <w:sz w:val="18"/>
              </w:rPr>
            </w:pPr>
            <w:r>
              <w:rPr>
                <w:sz w:val="18"/>
              </w:rPr>
              <w:t>一般公共预算</w:t>
            </w:r>
          </w:p>
          <w:p>
            <w:pPr>
              <w:pStyle w:val="TableParagraph"/>
              <w:spacing w:before="82"/>
              <w:ind w:left="8"/>
              <w:jc w:val="center"/>
              <w:rPr>
                <w:sz w:val="18"/>
              </w:rPr>
            </w:pPr>
            <w:r>
              <w:rPr>
                <w:sz w:val="18"/>
              </w:rPr>
              <w:t>拨款</w:t>
            </w:r>
          </w:p>
        </w:tc>
        <w:tc>
          <w:tcPr>
            <w:tcW w:w="1125" w:type="dxa"/>
          </w:tcPr>
          <w:p>
            <w:pPr>
              <w:pStyle w:val="TableParagraph"/>
              <w:spacing w:before="8"/>
              <w:rPr>
                <w:sz w:val="16"/>
              </w:rPr>
            </w:pPr>
          </w:p>
          <w:p>
            <w:pPr>
              <w:pStyle w:val="TableParagraph"/>
              <w:spacing w:before="1"/>
              <w:ind w:left="202"/>
              <w:rPr>
                <w:sz w:val="18"/>
              </w:rPr>
            </w:pPr>
            <w:r>
              <w:rPr>
                <w:sz w:val="18"/>
              </w:rPr>
              <w:t>其他收入</w:t>
            </w:r>
          </w:p>
        </w:tc>
      </w:tr>
      <w:tr>
        <w:trPr>
          <w:trHeight w:val="690" w:hRule="atLeast"/>
        </w:trPr>
        <w:tc>
          <w:tcPr>
            <w:tcW w:w="2355" w:type="dxa"/>
          </w:tcPr>
          <w:p>
            <w:pPr>
              <w:pStyle w:val="TableParagraph"/>
              <w:spacing w:before="3"/>
              <w:rPr>
                <w:sz w:val="20"/>
              </w:rPr>
            </w:pPr>
          </w:p>
          <w:p>
            <w:pPr>
              <w:pStyle w:val="TableParagraph"/>
              <w:spacing w:before="1"/>
              <w:ind w:left="936" w:right="929"/>
              <w:jc w:val="center"/>
              <w:rPr>
                <w:rFonts w:ascii="Times New Roman"/>
                <w:sz w:val="16"/>
              </w:rPr>
            </w:pPr>
            <w:r>
              <w:rPr>
                <w:rFonts w:ascii="Times New Roman"/>
                <w:sz w:val="16"/>
              </w:rPr>
              <w:t>210.73</w:t>
            </w:r>
          </w:p>
        </w:tc>
        <w:tc>
          <w:tcPr>
            <w:tcW w:w="1320" w:type="dxa"/>
          </w:tcPr>
          <w:p>
            <w:pPr>
              <w:pStyle w:val="TableParagraph"/>
              <w:spacing w:before="3"/>
              <w:rPr>
                <w:sz w:val="20"/>
              </w:rPr>
            </w:pPr>
          </w:p>
          <w:p>
            <w:pPr>
              <w:pStyle w:val="TableParagraph"/>
              <w:spacing w:before="1"/>
              <w:ind w:left="460" w:right="449"/>
              <w:jc w:val="center"/>
              <w:rPr>
                <w:rFonts w:ascii="Times New Roman"/>
                <w:sz w:val="16"/>
              </w:rPr>
            </w:pPr>
            <w:r>
              <w:rPr>
                <w:rFonts w:ascii="Times New Roman"/>
                <w:sz w:val="16"/>
              </w:rPr>
              <w:t>16.73</w:t>
            </w:r>
          </w:p>
        </w:tc>
        <w:tc>
          <w:tcPr>
            <w:tcW w:w="1125" w:type="dxa"/>
          </w:tcPr>
          <w:p>
            <w:pPr>
              <w:pStyle w:val="TableParagraph"/>
              <w:spacing w:before="3"/>
              <w:rPr>
                <w:sz w:val="20"/>
              </w:rPr>
            </w:pPr>
          </w:p>
          <w:p>
            <w:pPr>
              <w:pStyle w:val="TableParagraph"/>
              <w:spacing w:before="1"/>
              <w:ind w:left="9"/>
              <w:jc w:val="center"/>
              <w:rPr>
                <w:rFonts w:ascii="Times New Roman"/>
                <w:sz w:val="16"/>
              </w:rPr>
            </w:pPr>
            <w:r>
              <w:rPr>
                <w:rFonts w:ascii="Times New Roman"/>
                <w:sz w:val="16"/>
              </w:rPr>
              <w:t>16.73</w:t>
            </w:r>
          </w:p>
        </w:tc>
        <w:tc>
          <w:tcPr>
            <w:tcW w:w="1050" w:type="dxa"/>
          </w:tcPr>
          <w:p>
            <w:pPr>
              <w:pStyle w:val="TableParagraph"/>
              <w:rPr>
                <w:rFonts w:ascii="Times New Roman"/>
                <w:sz w:val="18"/>
              </w:rPr>
            </w:pPr>
          </w:p>
        </w:tc>
        <w:tc>
          <w:tcPr>
            <w:tcW w:w="1245" w:type="dxa"/>
          </w:tcPr>
          <w:p>
            <w:pPr>
              <w:pStyle w:val="TableParagraph"/>
              <w:spacing w:before="3"/>
              <w:rPr>
                <w:sz w:val="20"/>
              </w:rPr>
            </w:pPr>
          </w:p>
          <w:p>
            <w:pPr>
              <w:pStyle w:val="TableParagraph"/>
              <w:spacing w:before="1"/>
              <w:ind w:left="421" w:right="413"/>
              <w:jc w:val="center"/>
              <w:rPr>
                <w:rFonts w:ascii="Times New Roman"/>
                <w:sz w:val="16"/>
              </w:rPr>
            </w:pPr>
            <w:r>
              <w:rPr>
                <w:rFonts w:ascii="Times New Roman"/>
                <w:sz w:val="16"/>
              </w:rPr>
              <w:t>194</w:t>
            </w:r>
          </w:p>
        </w:tc>
        <w:tc>
          <w:tcPr>
            <w:tcW w:w="1125" w:type="dxa"/>
          </w:tcPr>
          <w:p>
            <w:pPr>
              <w:pStyle w:val="TableParagraph"/>
              <w:spacing w:before="3"/>
              <w:rPr>
                <w:sz w:val="20"/>
              </w:rPr>
            </w:pPr>
          </w:p>
          <w:p>
            <w:pPr>
              <w:pStyle w:val="TableParagraph"/>
              <w:spacing w:before="1"/>
              <w:ind w:left="9"/>
              <w:jc w:val="center"/>
              <w:rPr>
                <w:rFonts w:ascii="Times New Roman"/>
                <w:sz w:val="16"/>
              </w:rPr>
            </w:pPr>
            <w:r>
              <w:rPr>
                <w:rFonts w:ascii="Times New Roman"/>
                <w:sz w:val="16"/>
              </w:rPr>
              <w:t>194</w:t>
            </w:r>
          </w:p>
        </w:tc>
        <w:tc>
          <w:tcPr>
            <w:tcW w:w="1125" w:type="dxa"/>
          </w:tcPr>
          <w:p>
            <w:pPr>
              <w:pStyle w:val="TableParagraph"/>
              <w:rPr>
                <w:rFonts w:ascii="Times New Roman"/>
                <w:sz w:val="18"/>
              </w:rPr>
            </w:pPr>
          </w:p>
        </w:tc>
      </w:tr>
    </w:tbl>
    <w:p>
      <w:pPr>
        <w:spacing w:after="0"/>
        <w:rPr>
          <w:rFonts w:ascii="Times New Roman"/>
          <w:sz w:val="18"/>
        </w:rPr>
        <w:sectPr>
          <w:pgSz w:w="11910" w:h="16840"/>
          <w:pgMar w:header="0" w:footer="273" w:top="1580" w:bottom="460" w:left="200" w:right="80"/>
        </w:sectPr>
      </w:pPr>
    </w:p>
    <w:p>
      <w:pPr>
        <w:pStyle w:val="Heading2"/>
        <w:spacing w:before="369"/>
        <w:ind w:left="4424"/>
      </w:pPr>
      <w:r>
        <w:rPr>
          <w:spacing w:val="-4"/>
        </w:rPr>
        <w:t>部门支出总表</w:t>
      </w:r>
    </w:p>
    <w:p>
      <w:pPr>
        <w:spacing w:before="64"/>
        <w:ind w:left="2328" w:right="0" w:firstLine="0"/>
        <w:jc w:val="left"/>
        <w:rPr>
          <w:rFonts w:ascii="Times New Roman" w:eastAsia="Times New Roman"/>
          <w:sz w:val="20"/>
        </w:rPr>
      </w:pPr>
      <w:r>
        <w:rPr/>
        <w:br w:type="column"/>
      </w:r>
      <w:r>
        <w:rPr>
          <w:sz w:val="20"/>
        </w:rPr>
        <w:t>批复表 </w:t>
      </w:r>
      <w:r>
        <w:rPr>
          <w:rFonts w:ascii="Times New Roman" w:eastAsia="Times New Roman"/>
          <w:sz w:val="20"/>
        </w:rPr>
        <w:t>3</w:t>
      </w:r>
    </w:p>
    <w:p>
      <w:pPr>
        <w:spacing w:after="0"/>
        <w:jc w:val="left"/>
        <w:rPr>
          <w:rFonts w:ascii="Times New Roman" w:eastAsia="Times New Roman"/>
          <w:sz w:val="20"/>
        </w:rPr>
        <w:sectPr>
          <w:pgSz w:w="11910" w:h="16840"/>
          <w:pgMar w:header="0" w:footer="273" w:top="1380" w:bottom="460" w:left="200" w:right="80"/>
          <w:cols w:num="2" w:equalWidth="0">
            <w:col w:w="7315" w:space="40"/>
            <w:col w:w="4275"/>
          </w:cols>
        </w:sectPr>
      </w:pPr>
    </w:p>
    <w:p>
      <w:pPr>
        <w:tabs>
          <w:tab w:pos="9608" w:val="left" w:leader="none"/>
        </w:tabs>
        <w:spacing w:before="62" w:after="42"/>
        <w:ind w:left="1218" w:right="0" w:firstLine="0"/>
        <w:jc w:val="left"/>
        <w:rPr>
          <w:sz w:val="18"/>
        </w:rPr>
      </w:pPr>
      <w:r>
        <w:rPr>
          <w:sz w:val="18"/>
        </w:rPr>
        <w:t>单位：</w:t>
      </w:r>
      <w:r>
        <w:rPr>
          <w:spacing w:val="-2"/>
          <w:sz w:val="18"/>
        </w:rPr>
        <w:t> </w:t>
      </w:r>
      <w:r>
        <w:rPr>
          <w:sz w:val="18"/>
        </w:rPr>
        <w:t>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5"/>
        <w:gridCol w:w="2715"/>
        <w:gridCol w:w="1021"/>
        <w:gridCol w:w="1125"/>
        <w:gridCol w:w="900"/>
        <w:gridCol w:w="888"/>
        <w:gridCol w:w="937"/>
        <w:gridCol w:w="950"/>
      </w:tblGrid>
      <w:tr>
        <w:trPr>
          <w:trHeight w:val="638" w:hRule="atLeast"/>
        </w:trPr>
        <w:tc>
          <w:tcPr>
            <w:tcW w:w="795" w:type="dxa"/>
          </w:tcPr>
          <w:p>
            <w:pPr>
              <w:pStyle w:val="TableParagraph"/>
              <w:spacing w:before="6"/>
              <w:rPr>
                <w:sz w:val="17"/>
              </w:rPr>
            </w:pPr>
          </w:p>
          <w:p>
            <w:pPr>
              <w:pStyle w:val="TableParagraph"/>
              <w:ind w:left="77"/>
              <w:rPr>
                <w:sz w:val="16"/>
              </w:rPr>
            </w:pPr>
            <w:r>
              <w:rPr>
                <w:sz w:val="16"/>
              </w:rPr>
              <w:t>科目代码</w:t>
            </w:r>
          </w:p>
        </w:tc>
        <w:tc>
          <w:tcPr>
            <w:tcW w:w="2715" w:type="dxa"/>
          </w:tcPr>
          <w:p>
            <w:pPr>
              <w:pStyle w:val="TableParagraph"/>
              <w:spacing w:before="6"/>
              <w:rPr>
                <w:sz w:val="17"/>
              </w:rPr>
            </w:pPr>
          </w:p>
          <w:p>
            <w:pPr>
              <w:pStyle w:val="TableParagraph"/>
              <w:ind w:left="1017" w:right="1008"/>
              <w:jc w:val="center"/>
              <w:rPr>
                <w:sz w:val="16"/>
              </w:rPr>
            </w:pPr>
            <w:r>
              <w:rPr>
                <w:sz w:val="16"/>
              </w:rPr>
              <w:t>科目名称</w:t>
            </w:r>
          </w:p>
        </w:tc>
        <w:tc>
          <w:tcPr>
            <w:tcW w:w="1021" w:type="dxa"/>
          </w:tcPr>
          <w:p>
            <w:pPr>
              <w:pStyle w:val="TableParagraph"/>
              <w:spacing w:before="6"/>
              <w:rPr>
                <w:sz w:val="17"/>
              </w:rPr>
            </w:pPr>
          </w:p>
          <w:p>
            <w:pPr>
              <w:pStyle w:val="TableParagraph"/>
              <w:ind w:left="349"/>
              <w:rPr>
                <w:sz w:val="16"/>
              </w:rPr>
            </w:pPr>
            <w:r>
              <w:rPr>
                <w:sz w:val="16"/>
              </w:rPr>
              <w:t>合计</w:t>
            </w:r>
          </w:p>
        </w:tc>
        <w:tc>
          <w:tcPr>
            <w:tcW w:w="1125" w:type="dxa"/>
          </w:tcPr>
          <w:p>
            <w:pPr>
              <w:pStyle w:val="TableParagraph"/>
              <w:spacing w:before="6"/>
              <w:rPr>
                <w:sz w:val="17"/>
              </w:rPr>
            </w:pPr>
          </w:p>
          <w:p>
            <w:pPr>
              <w:pStyle w:val="TableParagraph"/>
              <w:ind w:left="240"/>
              <w:rPr>
                <w:sz w:val="16"/>
              </w:rPr>
            </w:pPr>
            <w:r>
              <w:rPr>
                <w:sz w:val="16"/>
              </w:rPr>
              <w:t>基本支出</w:t>
            </w:r>
          </w:p>
        </w:tc>
        <w:tc>
          <w:tcPr>
            <w:tcW w:w="900" w:type="dxa"/>
          </w:tcPr>
          <w:p>
            <w:pPr>
              <w:pStyle w:val="TableParagraph"/>
              <w:spacing w:before="6"/>
              <w:rPr>
                <w:sz w:val="17"/>
              </w:rPr>
            </w:pPr>
          </w:p>
          <w:p>
            <w:pPr>
              <w:pStyle w:val="TableParagraph"/>
              <w:ind w:left="109" w:right="101"/>
              <w:jc w:val="center"/>
              <w:rPr>
                <w:sz w:val="16"/>
              </w:rPr>
            </w:pPr>
            <w:r>
              <w:rPr>
                <w:sz w:val="16"/>
              </w:rPr>
              <w:t>项目支出</w:t>
            </w:r>
          </w:p>
        </w:tc>
        <w:tc>
          <w:tcPr>
            <w:tcW w:w="888" w:type="dxa"/>
          </w:tcPr>
          <w:p>
            <w:pPr>
              <w:pStyle w:val="TableParagraph"/>
              <w:spacing w:before="68"/>
              <w:ind w:left="104" w:right="94"/>
              <w:jc w:val="center"/>
              <w:rPr>
                <w:sz w:val="16"/>
              </w:rPr>
            </w:pPr>
            <w:r>
              <w:rPr>
                <w:sz w:val="16"/>
              </w:rPr>
              <w:t>上缴上级</w:t>
            </w:r>
          </w:p>
          <w:p>
            <w:pPr>
              <w:pStyle w:val="TableParagraph"/>
              <w:spacing w:before="107"/>
              <w:ind w:left="104" w:right="91"/>
              <w:jc w:val="center"/>
              <w:rPr>
                <w:sz w:val="16"/>
              </w:rPr>
            </w:pPr>
            <w:r>
              <w:rPr>
                <w:sz w:val="16"/>
              </w:rPr>
              <w:t>支出</w:t>
            </w:r>
          </w:p>
        </w:tc>
        <w:tc>
          <w:tcPr>
            <w:tcW w:w="937" w:type="dxa"/>
          </w:tcPr>
          <w:p>
            <w:pPr>
              <w:pStyle w:val="TableParagraph"/>
              <w:spacing w:before="68"/>
              <w:ind w:left="147"/>
              <w:rPr>
                <w:sz w:val="16"/>
              </w:rPr>
            </w:pPr>
            <w:r>
              <w:rPr>
                <w:spacing w:val="-2"/>
                <w:sz w:val="16"/>
              </w:rPr>
              <w:t>事业单位</w:t>
            </w:r>
          </w:p>
          <w:p>
            <w:pPr>
              <w:pStyle w:val="TableParagraph"/>
              <w:spacing w:before="107"/>
              <w:ind w:left="147"/>
              <w:rPr>
                <w:sz w:val="16"/>
              </w:rPr>
            </w:pPr>
            <w:r>
              <w:rPr>
                <w:spacing w:val="-2"/>
                <w:sz w:val="16"/>
              </w:rPr>
              <w:t>经营支出</w:t>
            </w:r>
          </w:p>
        </w:tc>
        <w:tc>
          <w:tcPr>
            <w:tcW w:w="950" w:type="dxa"/>
          </w:tcPr>
          <w:p>
            <w:pPr>
              <w:pStyle w:val="TableParagraph"/>
              <w:spacing w:before="68"/>
              <w:ind w:left="74"/>
              <w:rPr>
                <w:sz w:val="16"/>
              </w:rPr>
            </w:pPr>
            <w:r>
              <w:rPr>
                <w:sz w:val="16"/>
              </w:rPr>
              <w:t>对附属单位</w:t>
            </w:r>
          </w:p>
          <w:p>
            <w:pPr>
              <w:pStyle w:val="TableParagraph"/>
              <w:spacing w:before="107"/>
              <w:ind w:left="154"/>
              <w:rPr>
                <w:sz w:val="16"/>
              </w:rPr>
            </w:pPr>
            <w:r>
              <w:rPr>
                <w:sz w:val="16"/>
              </w:rPr>
              <w:t>补助支出</w:t>
            </w:r>
          </w:p>
        </w:tc>
      </w:tr>
      <w:tr>
        <w:trPr>
          <w:trHeight w:val="465" w:hRule="atLeast"/>
        </w:trPr>
        <w:tc>
          <w:tcPr>
            <w:tcW w:w="795" w:type="dxa"/>
          </w:tcPr>
          <w:p>
            <w:pPr>
              <w:pStyle w:val="TableParagraph"/>
              <w:spacing w:before="148"/>
              <w:ind w:left="15"/>
              <w:rPr>
                <w:rFonts w:ascii="Times New Roman"/>
                <w:sz w:val="16"/>
              </w:rPr>
            </w:pPr>
            <w:r>
              <w:rPr>
                <w:rFonts w:ascii="Times New Roman"/>
                <w:sz w:val="16"/>
              </w:rPr>
              <w:t>208</w:t>
            </w:r>
          </w:p>
        </w:tc>
        <w:tc>
          <w:tcPr>
            <w:tcW w:w="2715" w:type="dxa"/>
          </w:tcPr>
          <w:p>
            <w:pPr>
              <w:pStyle w:val="TableParagraph"/>
              <w:spacing w:before="126"/>
              <w:ind w:left="14"/>
              <w:rPr>
                <w:sz w:val="18"/>
              </w:rPr>
            </w:pPr>
            <w:r>
              <w:rPr>
                <w:sz w:val="18"/>
              </w:rPr>
              <w:t>社会保障和就业支出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20805</w:t>
            </w:r>
          </w:p>
        </w:tc>
        <w:tc>
          <w:tcPr>
            <w:tcW w:w="2715" w:type="dxa"/>
          </w:tcPr>
          <w:p>
            <w:pPr>
              <w:pStyle w:val="TableParagraph"/>
              <w:spacing w:before="127"/>
              <w:ind w:left="14"/>
              <w:rPr>
                <w:sz w:val="18"/>
              </w:rPr>
            </w:pPr>
            <w:r>
              <w:rPr>
                <w:sz w:val="18"/>
              </w:rPr>
              <w:t>行政事业单位养老支出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639" w:hRule="atLeast"/>
        </w:trPr>
        <w:tc>
          <w:tcPr>
            <w:tcW w:w="795" w:type="dxa"/>
          </w:tcPr>
          <w:p>
            <w:pPr>
              <w:pStyle w:val="TableParagraph"/>
              <w:spacing w:before="4"/>
              <w:rPr>
                <w:sz w:val="18"/>
              </w:rPr>
            </w:pPr>
          </w:p>
          <w:p>
            <w:pPr>
              <w:pStyle w:val="TableParagraph"/>
              <w:ind w:left="15"/>
              <w:rPr>
                <w:rFonts w:ascii="Times New Roman"/>
                <w:sz w:val="16"/>
              </w:rPr>
            </w:pPr>
            <w:r>
              <w:rPr>
                <w:rFonts w:ascii="Times New Roman"/>
                <w:sz w:val="16"/>
              </w:rPr>
              <w:t>2080505</w:t>
            </w:r>
          </w:p>
        </w:tc>
        <w:tc>
          <w:tcPr>
            <w:tcW w:w="2715" w:type="dxa"/>
          </w:tcPr>
          <w:p>
            <w:pPr>
              <w:pStyle w:val="TableParagraph"/>
              <w:spacing w:before="57"/>
              <w:ind w:left="14"/>
              <w:rPr>
                <w:sz w:val="18"/>
              </w:rPr>
            </w:pPr>
            <w:r>
              <w:rPr>
                <w:sz w:val="18"/>
              </w:rPr>
              <w:t>机关事业单位基本养老保险缴费</w:t>
            </w:r>
          </w:p>
          <w:p>
            <w:pPr>
              <w:pStyle w:val="TableParagraph"/>
              <w:spacing w:before="82"/>
              <w:ind w:left="14"/>
              <w:rPr>
                <w:sz w:val="18"/>
              </w:rPr>
            </w:pPr>
            <w:r>
              <w:rPr>
                <w:sz w:val="18"/>
              </w:rPr>
              <w:t>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2080506</w:t>
            </w:r>
          </w:p>
        </w:tc>
        <w:tc>
          <w:tcPr>
            <w:tcW w:w="2715" w:type="dxa"/>
          </w:tcPr>
          <w:p>
            <w:pPr>
              <w:pStyle w:val="TableParagraph"/>
              <w:spacing w:before="126"/>
              <w:ind w:left="14"/>
              <w:rPr>
                <w:sz w:val="18"/>
              </w:rPr>
            </w:pPr>
            <w:r>
              <w:rPr>
                <w:sz w:val="18"/>
              </w:rPr>
              <w:t>机关事业单位职业年金缴费支出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50"/>
              <w:ind w:left="15"/>
              <w:rPr>
                <w:rFonts w:ascii="Times New Roman"/>
                <w:sz w:val="16"/>
              </w:rPr>
            </w:pPr>
            <w:r>
              <w:rPr>
                <w:rFonts w:ascii="Times New Roman"/>
                <w:sz w:val="16"/>
              </w:rPr>
              <w:t>210</w:t>
            </w:r>
          </w:p>
        </w:tc>
        <w:tc>
          <w:tcPr>
            <w:tcW w:w="2715" w:type="dxa"/>
          </w:tcPr>
          <w:p>
            <w:pPr>
              <w:pStyle w:val="TableParagraph"/>
              <w:spacing w:before="126"/>
              <w:ind w:left="14"/>
              <w:rPr>
                <w:sz w:val="18"/>
              </w:rPr>
            </w:pPr>
            <w:r>
              <w:rPr>
                <w:sz w:val="18"/>
              </w:rPr>
              <w:t>卫生健康支出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7"/>
              <w:ind w:left="15"/>
              <w:rPr>
                <w:rFonts w:ascii="Times New Roman"/>
                <w:sz w:val="16"/>
              </w:rPr>
            </w:pPr>
            <w:r>
              <w:rPr>
                <w:rFonts w:ascii="Times New Roman"/>
                <w:sz w:val="16"/>
              </w:rPr>
              <w:t>21011</w:t>
            </w:r>
          </w:p>
        </w:tc>
        <w:tc>
          <w:tcPr>
            <w:tcW w:w="2715" w:type="dxa"/>
          </w:tcPr>
          <w:p>
            <w:pPr>
              <w:pStyle w:val="TableParagraph"/>
              <w:spacing w:before="126"/>
              <w:ind w:left="14"/>
              <w:rPr>
                <w:sz w:val="18"/>
              </w:rPr>
            </w:pPr>
            <w:r>
              <w:rPr>
                <w:sz w:val="18"/>
              </w:rPr>
              <w:t>行政事业单位医疗</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2101101</w:t>
            </w:r>
          </w:p>
        </w:tc>
        <w:tc>
          <w:tcPr>
            <w:tcW w:w="2715" w:type="dxa"/>
          </w:tcPr>
          <w:p>
            <w:pPr>
              <w:pStyle w:val="TableParagraph"/>
              <w:spacing w:before="126"/>
              <w:ind w:left="14"/>
              <w:rPr>
                <w:sz w:val="18"/>
              </w:rPr>
            </w:pPr>
            <w:r>
              <w:rPr>
                <w:sz w:val="18"/>
              </w:rPr>
              <w:t>行政单位医疗</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2101199</w:t>
            </w:r>
          </w:p>
        </w:tc>
        <w:tc>
          <w:tcPr>
            <w:tcW w:w="2715" w:type="dxa"/>
          </w:tcPr>
          <w:p>
            <w:pPr>
              <w:pStyle w:val="TableParagraph"/>
              <w:spacing w:before="127"/>
              <w:ind w:left="14"/>
              <w:rPr>
                <w:sz w:val="18"/>
              </w:rPr>
            </w:pPr>
            <w:r>
              <w:rPr>
                <w:sz w:val="18"/>
              </w:rPr>
              <w:t>其他行政事业单位医疗支出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221</w:t>
            </w:r>
          </w:p>
        </w:tc>
        <w:tc>
          <w:tcPr>
            <w:tcW w:w="2715" w:type="dxa"/>
          </w:tcPr>
          <w:p>
            <w:pPr>
              <w:pStyle w:val="TableParagraph"/>
              <w:spacing w:before="127"/>
              <w:ind w:left="14"/>
              <w:rPr>
                <w:sz w:val="18"/>
              </w:rPr>
            </w:pPr>
            <w:r>
              <w:rPr>
                <w:sz w:val="18"/>
              </w:rPr>
              <w:t>住房保障支出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22102</w:t>
            </w:r>
          </w:p>
        </w:tc>
        <w:tc>
          <w:tcPr>
            <w:tcW w:w="2715" w:type="dxa"/>
          </w:tcPr>
          <w:p>
            <w:pPr>
              <w:pStyle w:val="TableParagraph"/>
              <w:spacing w:before="125"/>
              <w:ind w:left="14"/>
              <w:rPr>
                <w:sz w:val="18"/>
              </w:rPr>
            </w:pPr>
            <w:r>
              <w:rPr>
                <w:sz w:val="18"/>
              </w:rPr>
              <w:t>住房改革支出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2210201</w:t>
            </w:r>
          </w:p>
        </w:tc>
        <w:tc>
          <w:tcPr>
            <w:tcW w:w="2715" w:type="dxa"/>
          </w:tcPr>
          <w:p>
            <w:pPr>
              <w:pStyle w:val="TableParagraph"/>
              <w:spacing w:before="125"/>
              <w:ind w:left="14"/>
              <w:rPr>
                <w:sz w:val="18"/>
              </w:rPr>
            </w:pPr>
            <w:r>
              <w:rPr>
                <w:sz w:val="18"/>
              </w:rPr>
              <w:t>住房公积金</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w:t>
            </w:r>
          </w:p>
        </w:tc>
        <w:tc>
          <w:tcPr>
            <w:tcW w:w="2715" w:type="dxa"/>
          </w:tcPr>
          <w:p>
            <w:pPr>
              <w:pStyle w:val="TableParagraph"/>
              <w:spacing w:before="125"/>
              <w:ind w:left="14"/>
              <w:rPr>
                <w:sz w:val="18"/>
              </w:rPr>
            </w:pPr>
            <w:r>
              <w:rPr>
                <w:sz w:val="18"/>
              </w:rPr>
              <w:t>灾害防治及应急管理支出</w:t>
            </w:r>
          </w:p>
        </w:tc>
        <w:tc>
          <w:tcPr>
            <w:tcW w:w="1021" w:type="dxa"/>
          </w:tcPr>
          <w:p>
            <w:pPr>
              <w:pStyle w:val="TableParagraph"/>
              <w:spacing w:before="149"/>
              <w:ind w:left="289"/>
              <w:rPr>
                <w:rFonts w:ascii="Times New Roman"/>
                <w:sz w:val="16"/>
              </w:rPr>
            </w:pPr>
            <w:r>
              <w:rPr>
                <w:rFonts w:ascii="Times New Roman"/>
                <w:sz w:val="16"/>
              </w:rPr>
              <w:t>210.73</w:t>
            </w:r>
          </w:p>
        </w:tc>
        <w:tc>
          <w:tcPr>
            <w:tcW w:w="1125" w:type="dxa"/>
          </w:tcPr>
          <w:p>
            <w:pPr>
              <w:pStyle w:val="TableParagraph"/>
              <w:rPr>
                <w:rFonts w:ascii="Times New Roman"/>
                <w:sz w:val="16"/>
              </w:rPr>
            </w:pPr>
          </w:p>
        </w:tc>
        <w:tc>
          <w:tcPr>
            <w:tcW w:w="900" w:type="dxa"/>
          </w:tcPr>
          <w:p>
            <w:pPr>
              <w:pStyle w:val="TableParagraph"/>
              <w:spacing w:before="149"/>
              <w:ind w:left="109" w:right="100"/>
              <w:jc w:val="center"/>
              <w:rPr>
                <w:rFonts w:ascii="Times New Roman"/>
                <w:sz w:val="16"/>
              </w:rPr>
            </w:pPr>
            <w:r>
              <w:rPr>
                <w:rFonts w:ascii="Times New Roman"/>
                <w:sz w:val="16"/>
              </w:rPr>
              <w:t>210.73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22402</w:t>
            </w:r>
          </w:p>
        </w:tc>
        <w:tc>
          <w:tcPr>
            <w:tcW w:w="2715" w:type="dxa"/>
          </w:tcPr>
          <w:p>
            <w:pPr>
              <w:pStyle w:val="TableParagraph"/>
              <w:spacing w:before="125"/>
              <w:ind w:left="14"/>
              <w:rPr>
                <w:sz w:val="18"/>
              </w:rPr>
            </w:pPr>
            <w:r>
              <w:rPr>
                <w:sz w:val="18"/>
              </w:rPr>
              <w:t>消防救援事务</w:t>
            </w:r>
          </w:p>
        </w:tc>
        <w:tc>
          <w:tcPr>
            <w:tcW w:w="1021" w:type="dxa"/>
          </w:tcPr>
          <w:p>
            <w:pPr>
              <w:pStyle w:val="TableParagraph"/>
              <w:spacing w:before="149"/>
              <w:ind w:left="289"/>
              <w:rPr>
                <w:rFonts w:ascii="Times New Roman"/>
                <w:sz w:val="16"/>
              </w:rPr>
            </w:pPr>
            <w:r>
              <w:rPr>
                <w:rFonts w:ascii="Times New Roman"/>
                <w:sz w:val="16"/>
              </w:rPr>
              <w:t>210.73</w:t>
            </w:r>
          </w:p>
        </w:tc>
        <w:tc>
          <w:tcPr>
            <w:tcW w:w="1125" w:type="dxa"/>
          </w:tcPr>
          <w:p>
            <w:pPr>
              <w:pStyle w:val="TableParagraph"/>
              <w:rPr>
                <w:rFonts w:ascii="Times New Roman"/>
                <w:sz w:val="16"/>
              </w:rPr>
            </w:pPr>
          </w:p>
        </w:tc>
        <w:tc>
          <w:tcPr>
            <w:tcW w:w="900" w:type="dxa"/>
          </w:tcPr>
          <w:p>
            <w:pPr>
              <w:pStyle w:val="TableParagraph"/>
              <w:spacing w:before="146"/>
              <w:ind w:left="109" w:right="100"/>
              <w:jc w:val="center"/>
              <w:rPr>
                <w:rFonts w:ascii="Times New Roman"/>
                <w:sz w:val="16"/>
              </w:rPr>
            </w:pPr>
            <w:r>
              <w:rPr>
                <w:rFonts w:ascii="Times New Roman"/>
                <w:sz w:val="16"/>
              </w:rPr>
              <w:t>210.73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2240201</w:t>
            </w:r>
          </w:p>
        </w:tc>
        <w:tc>
          <w:tcPr>
            <w:tcW w:w="2715" w:type="dxa"/>
          </w:tcPr>
          <w:p>
            <w:pPr>
              <w:pStyle w:val="TableParagraph"/>
              <w:spacing w:before="126"/>
              <w:ind w:left="14"/>
              <w:rPr>
                <w:sz w:val="18"/>
              </w:rPr>
            </w:pPr>
            <w:r>
              <w:rPr>
                <w:sz w:val="18"/>
              </w:rPr>
              <w:t>行政运行</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2240204</w:t>
            </w:r>
          </w:p>
        </w:tc>
        <w:tc>
          <w:tcPr>
            <w:tcW w:w="2715" w:type="dxa"/>
          </w:tcPr>
          <w:p>
            <w:pPr>
              <w:pStyle w:val="TableParagraph"/>
              <w:spacing w:before="126"/>
              <w:ind w:left="14"/>
              <w:rPr>
                <w:sz w:val="18"/>
              </w:rPr>
            </w:pPr>
            <w:r>
              <w:rPr>
                <w:sz w:val="18"/>
              </w:rPr>
              <w:t>消防应急救援</w:t>
            </w:r>
          </w:p>
        </w:tc>
        <w:tc>
          <w:tcPr>
            <w:tcW w:w="1021" w:type="dxa"/>
          </w:tcPr>
          <w:p>
            <w:pPr>
              <w:pStyle w:val="TableParagraph"/>
              <w:spacing w:before="149"/>
              <w:ind w:left="289"/>
              <w:rPr>
                <w:rFonts w:ascii="Times New Roman"/>
                <w:sz w:val="16"/>
              </w:rPr>
            </w:pPr>
            <w:r>
              <w:rPr>
                <w:rFonts w:ascii="Times New Roman"/>
                <w:sz w:val="16"/>
              </w:rPr>
              <w:t>210.73</w:t>
            </w:r>
          </w:p>
        </w:tc>
        <w:tc>
          <w:tcPr>
            <w:tcW w:w="1125" w:type="dxa"/>
          </w:tcPr>
          <w:p>
            <w:pPr>
              <w:pStyle w:val="TableParagraph"/>
              <w:rPr>
                <w:rFonts w:ascii="Times New Roman"/>
                <w:sz w:val="16"/>
              </w:rPr>
            </w:pPr>
          </w:p>
        </w:tc>
        <w:tc>
          <w:tcPr>
            <w:tcW w:w="900" w:type="dxa"/>
          </w:tcPr>
          <w:p>
            <w:pPr>
              <w:pStyle w:val="TableParagraph"/>
              <w:spacing w:before="147"/>
              <w:ind w:left="109" w:right="100"/>
              <w:jc w:val="center"/>
              <w:rPr>
                <w:rFonts w:ascii="Times New Roman"/>
                <w:sz w:val="16"/>
              </w:rPr>
            </w:pPr>
            <w:r>
              <w:rPr>
                <w:rFonts w:ascii="Times New Roman"/>
                <w:sz w:val="16"/>
              </w:rPr>
              <w:t>210.73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rPr>
                <w:rFonts w:ascii="Times New Roman"/>
                <w:sz w:val="16"/>
              </w:rPr>
            </w:pPr>
          </w:p>
        </w:tc>
        <w:tc>
          <w:tcPr>
            <w:tcW w:w="2715" w:type="dxa"/>
          </w:tcPr>
          <w:p>
            <w:pPr>
              <w:pStyle w:val="TableParagraph"/>
              <w:spacing w:before="126"/>
              <w:ind w:left="1015" w:right="1008"/>
              <w:jc w:val="center"/>
              <w:rPr>
                <w:b/>
                <w:sz w:val="18"/>
              </w:rPr>
            </w:pPr>
            <w:r>
              <w:rPr>
                <w:b/>
                <w:sz w:val="18"/>
              </w:rPr>
              <w:t>合计</w:t>
            </w:r>
          </w:p>
        </w:tc>
        <w:tc>
          <w:tcPr>
            <w:tcW w:w="1021" w:type="dxa"/>
          </w:tcPr>
          <w:p>
            <w:pPr>
              <w:pStyle w:val="TableParagraph"/>
              <w:spacing w:before="149"/>
              <w:ind w:left="289"/>
              <w:rPr>
                <w:rFonts w:ascii="Times New Roman"/>
                <w:b/>
                <w:sz w:val="16"/>
              </w:rPr>
            </w:pPr>
            <w:r>
              <w:rPr>
                <w:rFonts w:ascii="Times New Roman"/>
                <w:b/>
                <w:sz w:val="16"/>
              </w:rPr>
              <w:t>210.73</w:t>
            </w:r>
          </w:p>
        </w:tc>
        <w:tc>
          <w:tcPr>
            <w:tcW w:w="1125" w:type="dxa"/>
          </w:tcPr>
          <w:p>
            <w:pPr>
              <w:pStyle w:val="TableParagraph"/>
              <w:rPr>
                <w:rFonts w:ascii="Times New Roman"/>
                <w:sz w:val="16"/>
              </w:rPr>
            </w:pPr>
          </w:p>
        </w:tc>
        <w:tc>
          <w:tcPr>
            <w:tcW w:w="900" w:type="dxa"/>
          </w:tcPr>
          <w:p>
            <w:pPr>
              <w:pStyle w:val="TableParagraph"/>
              <w:spacing w:before="147"/>
              <w:ind w:left="109" w:right="100"/>
              <w:jc w:val="center"/>
              <w:rPr>
                <w:rFonts w:ascii="Times New Roman"/>
                <w:b/>
                <w:sz w:val="16"/>
              </w:rPr>
            </w:pPr>
            <w:r>
              <w:rPr>
                <w:rFonts w:ascii="Times New Roman"/>
                <w:b/>
                <w:sz w:val="16"/>
              </w:rPr>
              <w:t>210.73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bl>
    <w:p>
      <w:pPr>
        <w:spacing w:after="0"/>
        <w:rPr>
          <w:rFonts w:ascii="Times New Roman"/>
          <w:sz w:val="16"/>
        </w:rPr>
        <w:sectPr>
          <w:type w:val="continuous"/>
          <w:pgSz w:w="11910" w:h="16840"/>
          <w:pgMar w:top="1580" w:bottom="1180" w:left="200" w:right="80"/>
        </w:sectPr>
      </w:pPr>
    </w:p>
    <w:p>
      <w:pPr>
        <w:pStyle w:val="Heading2"/>
        <w:spacing w:before="383"/>
        <w:ind w:left="3964"/>
      </w:pPr>
      <w:r>
        <w:rPr>
          <w:spacing w:val="-3"/>
        </w:rPr>
        <w:t>财政拨款收支总表</w:t>
      </w:r>
    </w:p>
    <w:p>
      <w:pPr>
        <w:spacing w:before="53"/>
        <w:ind w:left="1952" w:right="0" w:firstLine="0"/>
        <w:jc w:val="left"/>
        <w:rPr>
          <w:rFonts w:ascii="Times New Roman" w:eastAsia="Times New Roman"/>
          <w:sz w:val="20"/>
        </w:rPr>
      </w:pPr>
      <w:r>
        <w:rPr/>
        <w:br w:type="column"/>
      </w:r>
      <w:r>
        <w:rPr>
          <w:sz w:val="20"/>
        </w:rPr>
        <w:t>批复表 </w:t>
      </w:r>
      <w:r>
        <w:rPr>
          <w:rFonts w:ascii="Times New Roman" w:eastAsia="Times New Roman"/>
          <w:sz w:val="20"/>
        </w:rPr>
        <w:t>4</w:t>
      </w:r>
    </w:p>
    <w:p>
      <w:pPr>
        <w:spacing w:after="0"/>
        <w:jc w:val="left"/>
        <w:rPr>
          <w:rFonts w:ascii="Times New Roman" w:eastAsia="Times New Roman"/>
          <w:sz w:val="20"/>
        </w:rPr>
        <w:sectPr>
          <w:footerReference w:type="default" r:id="rId7"/>
          <w:pgSz w:w="11910" w:h="16840"/>
          <w:pgMar w:footer="193" w:header="0" w:top="1400" w:bottom="380" w:left="200" w:right="80"/>
          <w:pgNumType w:start="10"/>
          <w:cols w:num="2" w:equalWidth="0">
            <w:col w:w="7816" w:space="40"/>
            <w:col w:w="3774"/>
          </w:cols>
        </w:sectPr>
      </w:pPr>
    </w:p>
    <w:p>
      <w:pPr>
        <w:tabs>
          <w:tab w:pos="9656" w:val="left" w:leader="none"/>
        </w:tabs>
        <w:spacing w:before="78" w:after="40"/>
        <w:ind w:left="1218" w:right="0" w:firstLine="0"/>
        <w:jc w:val="left"/>
        <w:rPr>
          <w:sz w:val="18"/>
        </w:rPr>
      </w:pPr>
      <w:r>
        <w:rPr>
          <w:sz w:val="18"/>
        </w:rPr>
        <w:t>单位：喀什市消防救援大队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85"/>
        <w:gridCol w:w="1759"/>
        <w:gridCol w:w="3025"/>
        <w:gridCol w:w="1900"/>
      </w:tblGrid>
      <w:tr>
        <w:trPr>
          <w:trHeight w:val="390" w:hRule="atLeast"/>
        </w:trPr>
        <w:tc>
          <w:tcPr>
            <w:tcW w:w="4444" w:type="dxa"/>
            <w:gridSpan w:val="2"/>
          </w:tcPr>
          <w:p>
            <w:pPr>
              <w:pStyle w:val="TableParagraph"/>
              <w:tabs>
                <w:tab w:pos="729" w:val="left" w:leader="none"/>
              </w:tabs>
              <w:spacing w:before="87"/>
              <w:ind w:left="9"/>
              <w:jc w:val="center"/>
              <w:rPr>
                <w:sz w:val="18"/>
              </w:rPr>
            </w:pPr>
            <w:r>
              <w:rPr>
                <w:sz w:val="18"/>
              </w:rPr>
              <w:t>收</w:t>
              <w:tab/>
              <w:t>入</w:t>
            </w:r>
          </w:p>
        </w:tc>
        <w:tc>
          <w:tcPr>
            <w:tcW w:w="4925" w:type="dxa"/>
            <w:gridSpan w:val="2"/>
          </w:tcPr>
          <w:p>
            <w:pPr>
              <w:pStyle w:val="TableParagraph"/>
              <w:tabs>
                <w:tab w:pos="730" w:val="left" w:leader="none"/>
              </w:tabs>
              <w:spacing w:before="87"/>
              <w:ind w:left="10"/>
              <w:jc w:val="center"/>
              <w:rPr>
                <w:sz w:val="18"/>
              </w:rPr>
            </w:pPr>
            <w:r>
              <w:rPr>
                <w:sz w:val="18"/>
              </w:rPr>
              <w:t>支</w:t>
              <w:tab/>
              <w:t>出</w:t>
            </w:r>
          </w:p>
        </w:tc>
      </w:tr>
      <w:tr>
        <w:trPr>
          <w:trHeight w:val="390" w:hRule="atLeast"/>
        </w:trPr>
        <w:tc>
          <w:tcPr>
            <w:tcW w:w="2685" w:type="dxa"/>
          </w:tcPr>
          <w:p>
            <w:pPr>
              <w:pStyle w:val="TableParagraph"/>
              <w:tabs>
                <w:tab w:pos="549" w:val="left" w:leader="none"/>
              </w:tabs>
              <w:spacing w:before="87"/>
              <w:ind w:left="9"/>
              <w:jc w:val="center"/>
              <w:rPr>
                <w:sz w:val="18"/>
              </w:rPr>
            </w:pPr>
            <w:r>
              <w:rPr>
                <w:sz w:val="18"/>
              </w:rPr>
              <w:t>项</w:t>
              <w:tab/>
              <w:t>目</w:t>
            </w:r>
          </w:p>
        </w:tc>
        <w:tc>
          <w:tcPr>
            <w:tcW w:w="1759" w:type="dxa"/>
          </w:tcPr>
          <w:p>
            <w:pPr>
              <w:pStyle w:val="TableParagraph"/>
              <w:spacing w:before="87"/>
              <w:ind w:left="588" w:right="580"/>
              <w:jc w:val="center"/>
              <w:rPr>
                <w:sz w:val="18"/>
              </w:rPr>
            </w:pPr>
            <w:r>
              <w:rPr>
                <w:sz w:val="18"/>
              </w:rPr>
              <w:t>预算数</w:t>
            </w:r>
          </w:p>
        </w:tc>
        <w:tc>
          <w:tcPr>
            <w:tcW w:w="3025" w:type="dxa"/>
          </w:tcPr>
          <w:p>
            <w:pPr>
              <w:pStyle w:val="TableParagraph"/>
              <w:tabs>
                <w:tab w:pos="547" w:val="left" w:leader="none"/>
              </w:tabs>
              <w:spacing w:before="87"/>
              <w:ind w:left="7"/>
              <w:jc w:val="center"/>
              <w:rPr>
                <w:sz w:val="18"/>
              </w:rPr>
            </w:pPr>
            <w:r>
              <w:rPr>
                <w:sz w:val="18"/>
              </w:rPr>
              <w:t>项</w:t>
              <w:tab/>
              <w:t>目</w:t>
            </w:r>
          </w:p>
        </w:tc>
        <w:tc>
          <w:tcPr>
            <w:tcW w:w="1900" w:type="dxa"/>
          </w:tcPr>
          <w:p>
            <w:pPr>
              <w:pStyle w:val="TableParagraph"/>
              <w:spacing w:before="87"/>
              <w:ind w:right="668"/>
              <w:jc w:val="right"/>
              <w:rPr>
                <w:sz w:val="18"/>
              </w:rPr>
            </w:pPr>
            <w:r>
              <w:rPr>
                <w:sz w:val="18"/>
              </w:rPr>
              <w:t>预算数</w:t>
            </w:r>
          </w:p>
        </w:tc>
      </w:tr>
      <w:tr>
        <w:trPr>
          <w:trHeight w:val="390" w:hRule="atLeast"/>
        </w:trPr>
        <w:tc>
          <w:tcPr>
            <w:tcW w:w="2685" w:type="dxa"/>
          </w:tcPr>
          <w:p>
            <w:pPr>
              <w:pStyle w:val="TableParagraph"/>
              <w:spacing w:before="88"/>
              <w:ind w:left="15"/>
              <w:rPr>
                <w:sz w:val="18"/>
              </w:rPr>
            </w:pPr>
            <w:r>
              <w:rPr>
                <w:sz w:val="18"/>
              </w:rPr>
              <w:t>一、本年收入</w:t>
            </w:r>
          </w:p>
        </w:tc>
        <w:tc>
          <w:tcPr>
            <w:tcW w:w="1759" w:type="dxa"/>
          </w:tcPr>
          <w:p>
            <w:pPr>
              <w:pStyle w:val="TableParagraph"/>
              <w:spacing w:before="109"/>
              <w:ind w:left="588" w:right="579"/>
              <w:jc w:val="center"/>
              <w:rPr>
                <w:rFonts w:ascii="Times New Roman"/>
                <w:sz w:val="16"/>
              </w:rPr>
            </w:pPr>
            <w:r>
              <w:rPr>
                <w:rFonts w:ascii="Times New Roman"/>
                <w:sz w:val="16"/>
              </w:rPr>
              <w:t>210.73</w:t>
            </w:r>
          </w:p>
        </w:tc>
        <w:tc>
          <w:tcPr>
            <w:tcW w:w="3025" w:type="dxa"/>
          </w:tcPr>
          <w:p>
            <w:pPr>
              <w:pStyle w:val="TableParagraph"/>
              <w:spacing w:before="88"/>
              <w:ind w:left="13"/>
              <w:rPr>
                <w:sz w:val="18"/>
              </w:rPr>
            </w:pPr>
            <w:r>
              <w:rPr>
                <w:sz w:val="18"/>
              </w:rPr>
              <w:t>一、本年支出</w:t>
            </w:r>
          </w:p>
        </w:tc>
        <w:tc>
          <w:tcPr>
            <w:tcW w:w="1900" w:type="dxa"/>
          </w:tcPr>
          <w:p>
            <w:pPr>
              <w:pStyle w:val="TableParagraph"/>
              <w:spacing w:before="109"/>
              <w:ind w:right="717"/>
              <w:jc w:val="right"/>
              <w:rPr>
                <w:rFonts w:ascii="Times New Roman"/>
                <w:sz w:val="16"/>
              </w:rPr>
            </w:pPr>
            <w:r>
              <w:rPr>
                <w:rFonts w:ascii="Times New Roman"/>
                <w:sz w:val="16"/>
              </w:rPr>
              <w:t>210.73</w:t>
            </w:r>
          </w:p>
        </w:tc>
      </w:tr>
      <w:tr>
        <w:trPr>
          <w:trHeight w:val="390" w:hRule="atLeast"/>
        </w:trPr>
        <w:tc>
          <w:tcPr>
            <w:tcW w:w="2685" w:type="dxa"/>
          </w:tcPr>
          <w:p>
            <w:pPr>
              <w:pStyle w:val="TableParagraph"/>
              <w:spacing w:before="87"/>
              <w:ind w:left="15"/>
              <w:rPr>
                <w:sz w:val="18"/>
              </w:rPr>
            </w:pPr>
            <w:r>
              <w:rPr>
                <w:sz w:val="18"/>
              </w:rPr>
              <w:t>（一）一般公共预算拨款</w:t>
            </w:r>
          </w:p>
        </w:tc>
        <w:tc>
          <w:tcPr>
            <w:tcW w:w="1759" w:type="dxa"/>
          </w:tcPr>
          <w:p>
            <w:pPr>
              <w:pStyle w:val="TableParagraph"/>
              <w:spacing w:before="110"/>
              <w:ind w:left="588" w:right="577"/>
              <w:jc w:val="center"/>
              <w:rPr>
                <w:rFonts w:ascii="Times New Roman"/>
                <w:sz w:val="16"/>
              </w:rPr>
            </w:pPr>
            <w:r>
              <w:rPr>
                <w:rFonts w:ascii="Times New Roman"/>
                <w:sz w:val="16"/>
              </w:rPr>
              <w:t>194</w:t>
            </w:r>
          </w:p>
        </w:tc>
        <w:tc>
          <w:tcPr>
            <w:tcW w:w="3025" w:type="dxa"/>
          </w:tcPr>
          <w:p>
            <w:pPr>
              <w:pStyle w:val="TableParagraph"/>
              <w:spacing w:before="87"/>
              <w:ind w:left="13"/>
              <w:rPr>
                <w:sz w:val="18"/>
              </w:rPr>
            </w:pPr>
            <w:r>
              <w:rPr>
                <w:sz w:val="18"/>
              </w:rPr>
              <w:t>（一）社会保障和就业支出</w:t>
            </w: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7"/>
              <w:ind w:left="15"/>
              <w:rPr>
                <w:sz w:val="18"/>
              </w:rPr>
            </w:pPr>
            <w:r>
              <w:rPr>
                <w:sz w:val="18"/>
              </w:rPr>
              <w:t>（二）政府性基金预算拨款</w:t>
            </w:r>
          </w:p>
        </w:tc>
        <w:tc>
          <w:tcPr>
            <w:tcW w:w="1759" w:type="dxa"/>
          </w:tcPr>
          <w:p>
            <w:pPr>
              <w:pStyle w:val="TableParagraph"/>
              <w:rPr>
                <w:rFonts w:ascii="Times New Roman"/>
                <w:sz w:val="18"/>
              </w:rPr>
            </w:pPr>
          </w:p>
        </w:tc>
        <w:tc>
          <w:tcPr>
            <w:tcW w:w="3025" w:type="dxa"/>
          </w:tcPr>
          <w:p>
            <w:pPr>
              <w:pStyle w:val="TableParagraph"/>
              <w:spacing w:before="87"/>
              <w:ind w:left="13"/>
              <w:rPr>
                <w:sz w:val="18"/>
              </w:rPr>
            </w:pPr>
            <w:r>
              <w:rPr>
                <w:sz w:val="18"/>
              </w:rPr>
              <w:t>（二）卫生健康支出</w:t>
            </w: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8"/>
              <w:ind w:left="15"/>
              <w:rPr>
                <w:sz w:val="18"/>
              </w:rPr>
            </w:pPr>
            <w:r>
              <w:rPr>
                <w:sz w:val="18"/>
              </w:rPr>
              <w:t>（三）国有资本经营预算拨款</w:t>
            </w:r>
          </w:p>
        </w:tc>
        <w:tc>
          <w:tcPr>
            <w:tcW w:w="1759" w:type="dxa"/>
          </w:tcPr>
          <w:p>
            <w:pPr>
              <w:pStyle w:val="TableParagraph"/>
              <w:rPr>
                <w:rFonts w:ascii="Times New Roman"/>
                <w:sz w:val="18"/>
              </w:rPr>
            </w:pPr>
          </w:p>
        </w:tc>
        <w:tc>
          <w:tcPr>
            <w:tcW w:w="3025" w:type="dxa"/>
          </w:tcPr>
          <w:p>
            <w:pPr>
              <w:pStyle w:val="TableParagraph"/>
              <w:spacing w:before="88"/>
              <w:ind w:left="13"/>
              <w:rPr>
                <w:sz w:val="18"/>
              </w:rPr>
            </w:pPr>
            <w:r>
              <w:rPr>
                <w:sz w:val="18"/>
              </w:rPr>
              <w:t>（三）住房保障支出</w:t>
            </w: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spacing w:before="87"/>
              <w:ind w:left="13"/>
              <w:rPr>
                <w:sz w:val="18"/>
              </w:rPr>
            </w:pPr>
            <w:r>
              <w:rPr>
                <w:sz w:val="18"/>
              </w:rPr>
              <w:t>（四）灾害防治及应急管理支出</w:t>
            </w:r>
          </w:p>
        </w:tc>
        <w:tc>
          <w:tcPr>
            <w:tcW w:w="1900" w:type="dxa"/>
          </w:tcPr>
          <w:p>
            <w:pPr>
              <w:pStyle w:val="TableParagraph"/>
              <w:spacing w:before="110"/>
              <w:ind w:right="717"/>
              <w:jc w:val="right"/>
              <w:rPr>
                <w:rFonts w:ascii="Times New Roman"/>
                <w:sz w:val="16"/>
              </w:rPr>
            </w:pPr>
            <w:r>
              <w:rPr>
                <w:rFonts w:ascii="Times New Roman"/>
                <w:sz w:val="16"/>
              </w:rPr>
              <w:t>210.73</w:t>
            </w:r>
          </w:p>
        </w:tc>
      </w:tr>
      <w:tr>
        <w:trPr>
          <w:trHeight w:val="390" w:hRule="atLeast"/>
        </w:trPr>
        <w:tc>
          <w:tcPr>
            <w:tcW w:w="2685" w:type="dxa"/>
          </w:tcPr>
          <w:p>
            <w:pPr>
              <w:pStyle w:val="TableParagraph"/>
              <w:spacing w:before="87"/>
              <w:ind w:left="15"/>
              <w:rPr>
                <w:sz w:val="18"/>
              </w:rPr>
            </w:pPr>
            <w:r>
              <w:rPr>
                <w:sz w:val="18"/>
              </w:rPr>
              <w:t>二、上年结转</w:t>
            </w:r>
          </w:p>
        </w:tc>
        <w:tc>
          <w:tcPr>
            <w:tcW w:w="1759" w:type="dxa"/>
          </w:tcPr>
          <w:p>
            <w:pPr>
              <w:pStyle w:val="TableParagraph"/>
              <w:spacing w:before="111"/>
              <w:ind w:left="588" w:right="577"/>
              <w:jc w:val="center"/>
              <w:rPr>
                <w:rFonts w:ascii="Times New Roman"/>
                <w:sz w:val="16"/>
              </w:rPr>
            </w:pPr>
            <w:r>
              <w:rPr>
                <w:rFonts w:ascii="Times New Roman"/>
                <w:sz w:val="16"/>
              </w:rPr>
              <w:t>16.73</w:t>
            </w: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8"/>
              <w:ind w:left="15"/>
              <w:rPr>
                <w:sz w:val="18"/>
              </w:rPr>
            </w:pPr>
            <w:r>
              <w:rPr>
                <w:sz w:val="18"/>
              </w:rPr>
              <w:t>（一）一般公共预算拨款</w:t>
            </w:r>
          </w:p>
        </w:tc>
        <w:tc>
          <w:tcPr>
            <w:tcW w:w="1759" w:type="dxa"/>
          </w:tcPr>
          <w:p>
            <w:pPr>
              <w:pStyle w:val="TableParagraph"/>
              <w:spacing w:before="109"/>
              <w:ind w:left="588" w:right="577"/>
              <w:jc w:val="center"/>
              <w:rPr>
                <w:rFonts w:ascii="Times New Roman"/>
                <w:sz w:val="16"/>
              </w:rPr>
            </w:pPr>
            <w:r>
              <w:rPr>
                <w:rFonts w:ascii="Times New Roman"/>
                <w:sz w:val="16"/>
              </w:rPr>
              <w:t>16.73</w:t>
            </w: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7"/>
              <w:ind w:left="15"/>
              <w:rPr>
                <w:sz w:val="18"/>
              </w:rPr>
            </w:pPr>
            <w:r>
              <w:rPr>
                <w:sz w:val="18"/>
              </w:rPr>
              <w:t>（二）政府性基金预算拨款</w:t>
            </w: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8"/>
              <w:ind w:left="15"/>
              <w:rPr>
                <w:sz w:val="18"/>
              </w:rPr>
            </w:pPr>
            <w:r>
              <w:rPr>
                <w:sz w:val="18"/>
              </w:rPr>
              <w:t>（三）国有资本经营预算拨款</w:t>
            </w: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tabs>
                <w:tab w:pos="1205" w:val="left" w:leader="none"/>
                <w:tab w:pos="1745" w:val="left" w:leader="none"/>
                <w:tab w:pos="2285" w:val="left" w:leader="none"/>
              </w:tabs>
              <w:spacing w:before="88"/>
              <w:ind w:left="665"/>
              <w:rPr>
                <w:sz w:val="18"/>
              </w:rPr>
            </w:pPr>
            <w:r>
              <w:rPr>
                <w:sz w:val="18"/>
              </w:rPr>
              <w:t>收</w:t>
              <w:tab/>
              <w:t>入</w:t>
              <w:tab/>
              <w:t>总</w:t>
              <w:tab/>
              <w:t>计</w:t>
            </w:r>
          </w:p>
        </w:tc>
        <w:tc>
          <w:tcPr>
            <w:tcW w:w="1759" w:type="dxa"/>
          </w:tcPr>
          <w:p>
            <w:pPr>
              <w:pStyle w:val="TableParagraph"/>
              <w:spacing w:before="109"/>
              <w:ind w:left="588" w:right="579"/>
              <w:jc w:val="center"/>
              <w:rPr>
                <w:rFonts w:ascii="Times New Roman"/>
                <w:sz w:val="16"/>
              </w:rPr>
            </w:pPr>
            <w:r>
              <w:rPr>
                <w:rFonts w:ascii="Times New Roman"/>
                <w:sz w:val="16"/>
              </w:rPr>
              <w:t>210.73</w:t>
            </w:r>
          </w:p>
        </w:tc>
        <w:tc>
          <w:tcPr>
            <w:tcW w:w="3025" w:type="dxa"/>
          </w:tcPr>
          <w:p>
            <w:pPr>
              <w:pStyle w:val="TableParagraph"/>
              <w:tabs>
                <w:tab w:pos="1376" w:val="left" w:leader="none"/>
                <w:tab w:pos="1916" w:val="left" w:leader="none"/>
                <w:tab w:pos="2456" w:val="left" w:leader="none"/>
              </w:tabs>
              <w:spacing w:before="88"/>
              <w:ind w:left="836"/>
              <w:rPr>
                <w:sz w:val="18"/>
              </w:rPr>
            </w:pPr>
            <w:r>
              <w:rPr>
                <w:sz w:val="18"/>
              </w:rPr>
              <w:t>支</w:t>
              <w:tab/>
              <w:t>出</w:t>
              <w:tab/>
              <w:t>总</w:t>
              <w:tab/>
              <w:t>计</w:t>
            </w:r>
          </w:p>
        </w:tc>
        <w:tc>
          <w:tcPr>
            <w:tcW w:w="1900" w:type="dxa"/>
          </w:tcPr>
          <w:p>
            <w:pPr>
              <w:pStyle w:val="TableParagraph"/>
              <w:spacing w:before="109"/>
              <w:ind w:right="717"/>
              <w:jc w:val="right"/>
              <w:rPr>
                <w:rFonts w:ascii="Times New Roman"/>
                <w:sz w:val="16"/>
              </w:rPr>
            </w:pPr>
            <w:r>
              <w:rPr>
                <w:rFonts w:ascii="Times New Roman"/>
                <w:sz w:val="16"/>
              </w:rPr>
              <w:t>210.73</w:t>
            </w:r>
          </w:p>
        </w:tc>
      </w:tr>
    </w:tbl>
    <w:p>
      <w:pPr>
        <w:spacing w:after="0"/>
        <w:jc w:val="right"/>
        <w:rPr>
          <w:rFonts w:ascii="Times New Roman"/>
          <w:sz w:val="16"/>
        </w:rPr>
        <w:sectPr>
          <w:type w:val="continuous"/>
          <w:pgSz w:w="11910" w:h="16840"/>
          <w:pgMar w:top="1580" w:bottom="1180" w:left="200" w:right="80"/>
        </w:sectPr>
      </w:pPr>
    </w:p>
    <w:p>
      <w:pPr>
        <w:pStyle w:val="Heading2"/>
        <w:spacing w:before="378"/>
        <w:ind w:left="3640"/>
      </w:pPr>
      <w:r>
        <w:rPr>
          <w:spacing w:val="-2"/>
        </w:rPr>
        <w:t>一般公共预算支出表</w:t>
      </w:r>
    </w:p>
    <w:p>
      <w:pPr>
        <w:spacing w:before="60"/>
        <w:ind w:left="1585" w:right="1189" w:firstLine="0"/>
        <w:jc w:val="center"/>
        <w:rPr>
          <w:rFonts w:ascii="Times New Roman" w:eastAsia="Times New Roman"/>
          <w:sz w:val="20"/>
        </w:rPr>
      </w:pPr>
      <w:r>
        <w:rPr/>
        <w:br w:type="column"/>
      </w:r>
      <w:r>
        <w:rPr>
          <w:sz w:val="20"/>
        </w:rPr>
        <w:t>批复表 </w:t>
      </w:r>
      <w:r>
        <w:rPr>
          <w:rFonts w:ascii="Times New Roman" w:eastAsia="Times New Roman"/>
          <w:sz w:val="20"/>
        </w:rPr>
        <w:t>5</w:t>
      </w:r>
    </w:p>
    <w:p>
      <w:pPr>
        <w:spacing w:after="0"/>
        <w:jc w:val="center"/>
        <w:rPr>
          <w:rFonts w:ascii="Times New Roman" w:eastAsia="Times New Roman"/>
          <w:sz w:val="20"/>
        </w:rPr>
        <w:sectPr>
          <w:pgSz w:w="11910" w:h="16840"/>
          <w:pgMar w:header="0" w:footer="193" w:top="1400" w:bottom="460" w:left="200" w:right="80"/>
          <w:cols w:num="2" w:equalWidth="0">
            <w:col w:w="7975" w:space="40"/>
            <w:col w:w="3615"/>
          </w:cols>
        </w:sectPr>
      </w:pPr>
    </w:p>
    <w:p>
      <w:pPr>
        <w:tabs>
          <w:tab w:pos="9493" w:val="left" w:leader="none"/>
        </w:tabs>
        <w:spacing w:before="71" w:after="49"/>
        <w:ind w:left="1218" w:right="0" w:firstLine="0"/>
        <w:jc w:val="left"/>
        <w:rPr>
          <w:sz w:val="18"/>
        </w:rPr>
      </w:pPr>
      <w:r>
        <w:rPr>
          <w:sz w:val="18"/>
        </w:rPr>
        <w:t>单位：喀什市消防救援大队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00"/>
        <w:gridCol w:w="3230"/>
        <w:gridCol w:w="1050"/>
        <w:gridCol w:w="976"/>
        <w:gridCol w:w="1050"/>
        <w:gridCol w:w="1013"/>
        <w:gridCol w:w="987"/>
      </w:tblGrid>
      <w:tr>
        <w:trPr>
          <w:trHeight w:val="495" w:hRule="atLeast"/>
        </w:trPr>
        <w:tc>
          <w:tcPr>
            <w:tcW w:w="900" w:type="dxa"/>
            <w:vMerge w:val="restart"/>
          </w:tcPr>
          <w:p>
            <w:pPr>
              <w:pStyle w:val="TableParagraph"/>
              <w:rPr>
                <w:sz w:val="18"/>
              </w:rPr>
            </w:pPr>
          </w:p>
          <w:p>
            <w:pPr>
              <w:pStyle w:val="TableParagraph"/>
              <w:rPr>
                <w:sz w:val="18"/>
              </w:rPr>
            </w:pPr>
          </w:p>
          <w:p>
            <w:pPr>
              <w:pStyle w:val="TableParagraph"/>
              <w:spacing w:before="154"/>
              <w:ind w:left="89"/>
              <w:rPr>
                <w:sz w:val="18"/>
              </w:rPr>
            </w:pPr>
            <w:r>
              <w:rPr>
                <w:sz w:val="18"/>
              </w:rPr>
              <w:t>科目代码</w:t>
            </w:r>
          </w:p>
        </w:tc>
        <w:tc>
          <w:tcPr>
            <w:tcW w:w="3230" w:type="dxa"/>
            <w:vMerge w:val="restart"/>
          </w:tcPr>
          <w:p>
            <w:pPr>
              <w:pStyle w:val="TableParagraph"/>
              <w:rPr>
                <w:sz w:val="18"/>
              </w:rPr>
            </w:pPr>
          </w:p>
          <w:p>
            <w:pPr>
              <w:pStyle w:val="TableParagraph"/>
              <w:rPr>
                <w:sz w:val="18"/>
              </w:rPr>
            </w:pPr>
          </w:p>
          <w:p>
            <w:pPr>
              <w:pStyle w:val="TableParagraph"/>
              <w:spacing w:before="154"/>
              <w:ind w:left="1233" w:right="1226"/>
              <w:jc w:val="center"/>
              <w:rPr>
                <w:sz w:val="18"/>
              </w:rPr>
            </w:pPr>
            <w:r>
              <w:rPr>
                <w:sz w:val="18"/>
              </w:rPr>
              <w:t>科目名称</w:t>
            </w:r>
          </w:p>
        </w:tc>
        <w:tc>
          <w:tcPr>
            <w:tcW w:w="5076" w:type="dxa"/>
            <w:gridSpan w:val="5"/>
          </w:tcPr>
          <w:p>
            <w:pPr>
              <w:pStyle w:val="TableParagraph"/>
              <w:spacing w:before="140"/>
              <w:ind w:left="1637"/>
              <w:rPr>
                <w:sz w:val="18"/>
              </w:rPr>
            </w:pPr>
            <w:r>
              <w:rPr>
                <w:sz w:val="18"/>
              </w:rPr>
              <w:t>本年一般公共预算支出</w:t>
            </w:r>
          </w:p>
        </w:tc>
      </w:tr>
      <w:tr>
        <w:trPr>
          <w:trHeight w:val="435" w:hRule="atLeast"/>
        </w:trPr>
        <w:tc>
          <w:tcPr>
            <w:tcW w:w="900" w:type="dxa"/>
            <w:vMerge/>
            <w:tcBorders>
              <w:top w:val="nil"/>
            </w:tcBorders>
          </w:tcPr>
          <w:p>
            <w:pPr>
              <w:rPr>
                <w:sz w:val="2"/>
                <w:szCs w:val="2"/>
              </w:rPr>
            </w:pPr>
          </w:p>
        </w:tc>
        <w:tc>
          <w:tcPr>
            <w:tcW w:w="3230" w:type="dxa"/>
            <w:vMerge/>
            <w:tcBorders>
              <w:top w:val="nil"/>
            </w:tcBorders>
          </w:tcPr>
          <w:p>
            <w:pPr>
              <w:rPr>
                <w:sz w:val="2"/>
                <w:szCs w:val="2"/>
              </w:rPr>
            </w:pPr>
          </w:p>
        </w:tc>
        <w:tc>
          <w:tcPr>
            <w:tcW w:w="1050" w:type="dxa"/>
            <w:vMerge w:val="restart"/>
          </w:tcPr>
          <w:p>
            <w:pPr>
              <w:pStyle w:val="TableParagraph"/>
              <w:rPr>
                <w:sz w:val="18"/>
              </w:rPr>
            </w:pPr>
          </w:p>
          <w:p>
            <w:pPr>
              <w:pStyle w:val="TableParagraph"/>
              <w:spacing w:before="132"/>
              <w:ind w:left="344"/>
              <w:rPr>
                <w:sz w:val="18"/>
              </w:rPr>
            </w:pPr>
            <w:r>
              <w:rPr>
                <w:sz w:val="18"/>
              </w:rPr>
              <w:t>合计</w:t>
            </w:r>
          </w:p>
        </w:tc>
        <w:tc>
          <w:tcPr>
            <w:tcW w:w="3039" w:type="dxa"/>
            <w:gridSpan w:val="3"/>
          </w:tcPr>
          <w:p>
            <w:pPr>
              <w:pStyle w:val="TableParagraph"/>
              <w:spacing w:before="110"/>
              <w:ind w:left="1139" w:right="1130"/>
              <w:jc w:val="center"/>
              <w:rPr>
                <w:sz w:val="18"/>
              </w:rPr>
            </w:pPr>
            <w:r>
              <w:rPr>
                <w:sz w:val="18"/>
              </w:rPr>
              <w:t>基本支出</w:t>
            </w:r>
          </w:p>
        </w:tc>
        <w:tc>
          <w:tcPr>
            <w:tcW w:w="987" w:type="dxa"/>
            <w:vMerge w:val="restart"/>
          </w:tcPr>
          <w:p>
            <w:pPr>
              <w:pStyle w:val="TableParagraph"/>
              <w:rPr>
                <w:sz w:val="18"/>
              </w:rPr>
            </w:pPr>
          </w:p>
          <w:p>
            <w:pPr>
              <w:pStyle w:val="TableParagraph"/>
              <w:spacing w:before="132"/>
              <w:ind w:left="133"/>
              <w:rPr>
                <w:sz w:val="18"/>
              </w:rPr>
            </w:pPr>
            <w:r>
              <w:rPr>
                <w:sz w:val="18"/>
              </w:rPr>
              <w:t>项目支出</w:t>
            </w:r>
          </w:p>
        </w:tc>
      </w:tr>
      <w:tr>
        <w:trPr>
          <w:trHeight w:val="495" w:hRule="atLeast"/>
        </w:trPr>
        <w:tc>
          <w:tcPr>
            <w:tcW w:w="900" w:type="dxa"/>
            <w:vMerge/>
            <w:tcBorders>
              <w:top w:val="nil"/>
            </w:tcBorders>
          </w:tcPr>
          <w:p>
            <w:pPr>
              <w:rPr>
                <w:sz w:val="2"/>
                <w:szCs w:val="2"/>
              </w:rPr>
            </w:pPr>
          </w:p>
        </w:tc>
        <w:tc>
          <w:tcPr>
            <w:tcW w:w="3230" w:type="dxa"/>
            <w:vMerge/>
            <w:tcBorders>
              <w:top w:val="nil"/>
            </w:tcBorders>
          </w:tcPr>
          <w:p>
            <w:pPr>
              <w:rPr>
                <w:sz w:val="2"/>
                <w:szCs w:val="2"/>
              </w:rPr>
            </w:pPr>
          </w:p>
        </w:tc>
        <w:tc>
          <w:tcPr>
            <w:tcW w:w="1050" w:type="dxa"/>
            <w:vMerge/>
            <w:tcBorders>
              <w:top w:val="nil"/>
            </w:tcBorders>
          </w:tcPr>
          <w:p>
            <w:pPr>
              <w:rPr>
                <w:sz w:val="2"/>
                <w:szCs w:val="2"/>
              </w:rPr>
            </w:pPr>
          </w:p>
        </w:tc>
        <w:tc>
          <w:tcPr>
            <w:tcW w:w="976" w:type="dxa"/>
          </w:tcPr>
          <w:p>
            <w:pPr>
              <w:pStyle w:val="TableParagraph"/>
              <w:spacing w:before="140"/>
              <w:ind w:right="296"/>
              <w:jc w:val="right"/>
              <w:rPr>
                <w:sz w:val="18"/>
              </w:rPr>
            </w:pPr>
            <w:r>
              <w:rPr>
                <w:sz w:val="18"/>
              </w:rPr>
              <w:t>小计</w:t>
            </w:r>
          </w:p>
        </w:tc>
        <w:tc>
          <w:tcPr>
            <w:tcW w:w="1050" w:type="dxa"/>
          </w:tcPr>
          <w:p>
            <w:pPr>
              <w:pStyle w:val="TableParagraph"/>
              <w:spacing w:before="140"/>
              <w:ind w:left="163"/>
              <w:rPr>
                <w:sz w:val="18"/>
              </w:rPr>
            </w:pPr>
            <w:r>
              <w:rPr>
                <w:sz w:val="18"/>
              </w:rPr>
              <w:t>人员经费</w:t>
            </w:r>
          </w:p>
        </w:tc>
        <w:tc>
          <w:tcPr>
            <w:tcW w:w="1013" w:type="dxa"/>
          </w:tcPr>
          <w:p>
            <w:pPr>
              <w:pStyle w:val="TableParagraph"/>
              <w:spacing w:before="140"/>
              <w:ind w:left="145"/>
              <w:rPr>
                <w:sz w:val="18"/>
              </w:rPr>
            </w:pPr>
            <w:r>
              <w:rPr>
                <w:sz w:val="18"/>
              </w:rPr>
              <w:t>公用经费</w:t>
            </w:r>
          </w:p>
        </w:tc>
        <w:tc>
          <w:tcPr>
            <w:tcW w:w="987" w:type="dxa"/>
            <w:vMerge/>
            <w:tcBorders>
              <w:top w:val="nil"/>
            </w:tcBorders>
          </w:tcPr>
          <w:p>
            <w:pPr>
              <w:rPr>
                <w:sz w:val="2"/>
                <w:szCs w:val="2"/>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208</w:t>
            </w:r>
          </w:p>
        </w:tc>
        <w:tc>
          <w:tcPr>
            <w:tcW w:w="3230" w:type="dxa"/>
          </w:tcPr>
          <w:p>
            <w:pPr>
              <w:pStyle w:val="TableParagraph"/>
              <w:spacing w:before="87"/>
              <w:ind w:left="15"/>
              <w:rPr>
                <w:sz w:val="18"/>
              </w:rPr>
            </w:pPr>
            <w:r>
              <w:rPr>
                <w:sz w:val="18"/>
              </w:rPr>
              <w:t>社会保障和就业支出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20805</w:t>
            </w:r>
          </w:p>
        </w:tc>
        <w:tc>
          <w:tcPr>
            <w:tcW w:w="3230" w:type="dxa"/>
          </w:tcPr>
          <w:p>
            <w:pPr>
              <w:pStyle w:val="TableParagraph"/>
              <w:spacing w:before="88"/>
              <w:ind w:left="15"/>
              <w:rPr>
                <w:sz w:val="18"/>
              </w:rPr>
            </w:pPr>
            <w:r>
              <w:rPr>
                <w:sz w:val="18"/>
              </w:rPr>
              <w:t>行政事业单位养老支出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2080505</w:t>
            </w:r>
          </w:p>
        </w:tc>
        <w:tc>
          <w:tcPr>
            <w:tcW w:w="3230" w:type="dxa"/>
          </w:tcPr>
          <w:p>
            <w:pPr>
              <w:pStyle w:val="TableParagraph"/>
              <w:spacing w:before="88"/>
              <w:ind w:left="15"/>
              <w:rPr>
                <w:sz w:val="18"/>
              </w:rPr>
            </w:pPr>
            <w:r>
              <w:rPr>
                <w:sz w:val="18"/>
              </w:rPr>
              <w:t>机关事业单位基本养老保险缴费支出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2080506</w:t>
            </w:r>
          </w:p>
        </w:tc>
        <w:tc>
          <w:tcPr>
            <w:tcW w:w="3230" w:type="dxa"/>
          </w:tcPr>
          <w:p>
            <w:pPr>
              <w:pStyle w:val="TableParagraph"/>
              <w:spacing w:before="87"/>
              <w:ind w:left="15"/>
              <w:rPr>
                <w:sz w:val="18"/>
              </w:rPr>
            </w:pPr>
            <w:r>
              <w:rPr>
                <w:sz w:val="18"/>
              </w:rPr>
              <w:t>机关事业单位职业年金缴费支出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210</w:t>
            </w:r>
          </w:p>
        </w:tc>
        <w:tc>
          <w:tcPr>
            <w:tcW w:w="3230" w:type="dxa"/>
          </w:tcPr>
          <w:p>
            <w:pPr>
              <w:pStyle w:val="TableParagraph"/>
              <w:spacing w:before="88"/>
              <w:ind w:left="15"/>
              <w:rPr>
                <w:sz w:val="18"/>
              </w:rPr>
            </w:pPr>
            <w:r>
              <w:rPr>
                <w:sz w:val="18"/>
              </w:rPr>
              <w:t>卫生健康支出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89" w:hRule="atLeast"/>
        </w:trPr>
        <w:tc>
          <w:tcPr>
            <w:tcW w:w="900" w:type="dxa"/>
          </w:tcPr>
          <w:p>
            <w:pPr>
              <w:pStyle w:val="TableParagraph"/>
              <w:spacing w:before="109"/>
              <w:ind w:left="15"/>
              <w:rPr>
                <w:rFonts w:ascii="Times New Roman"/>
                <w:sz w:val="16"/>
              </w:rPr>
            </w:pPr>
            <w:r>
              <w:rPr>
                <w:rFonts w:ascii="Times New Roman"/>
                <w:sz w:val="16"/>
              </w:rPr>
              <w:t>21011</w:t>
            </w:r>
          </w:p>
        </w:tc>
        <w:tc>
          <w:tcPr>
            <w:tcW w:w="3230" w:type="dxa"/>
          </w:tcPr>
          <w:p>
            <w:pPr>
              <w:pStyle w:val="TableParagraph"/>
              <w:spacing w:before="88"/>
              <w:ind w:left="15"/>
              <w:rPr>
                <w:sz w:val="18"/>
              </w:rPr>
            </w:pPr>
            <w:r>
              <w:rPr>
                <w:sz w:val="18"/>
              </w:rPr>
              <w:t>行政事业单位医疗</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2101101</w:t>
            </w:r>
          </w:p>
        </w:tc>
        <w:tc>
          <w:tcPr>
            <w:tcW w:w="3230" w:type="dxa"/>
          </w:tcPr>
          <w:p>
            <w:pPr>
              <w:pStyle w:val="TableParagraph"/>
              <w:spacing w:before="87"/>
              <w:ind w:left="15"/>
              <w:rPr>
                <w:sz w:val="18"/>
              </w:rPr>
            </w:pPr>
            <w:r>
              <w:rPr>
                <w:sz w:val="18"/>
              </w:rPr>
              <w:t>行政单位医疗</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2101199</w:t>
            </w:r>
          </w:p>
        </w:tc>
        <w:tc>
          <w:tcPr>
            <w:tcW w:w="3230" w:type="dxa"/>
          </w:tcPr>
          <w:p>
            <w:pPr>
              <w:pStyle w:val="TableParagraph"/>
              <w:spacing w:before="87"/>
              <w:ind w:left="15"/>
              <w:rPr>
                <w:sz w:val="18"/>
              </w:rPr>
            </w:pPr>
            <w:r>
              <w:rPr>
                <w:sz w:val="18"/>
              </w:rPr>
              <w:t>其他行政事业单位医疗支出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221</w:t>
            </w:r>
          </w:p>
        </w:tc>
        <w:tc>
          <w:tcPr>
            <w:tcW w:w="3230" w:type="dxa"/>
          </w:tcPr>
          <w:p>
            <w:pPr>
              <w:pStyle w:val="TableParagraph"/>
              <w:spacing w:before="88"/>
              <w:ind w:left="15"/>
              <w:rPr>
                <w:sz w:val="18"/>
              </w:rPr>
            </w:pPr>
            <w:r>
              <w:rPr>
                <w:sz w:val="18"/>
              </w:rPr>
              <w:t>住房保障支出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22102</w:t>
            </w:r>
          </w:p>
        </w:tc>
        <w:tc>
          <w:tcPr>
            <w:tcW w:w="3230" w:type="dxa"/>
          </w:tcPr>
          <w:p>
            <w:pPr>
              <w:pStyle w:val="TableParagraph"/>
              <w:spacing w:before="87"/>
              <w:ind w:left="15"/>
              <w:rPr>
                <w:sz w:val="18"/>
              </w:rPr>
            </w:pPr>
            <w:r>
              <w:rPr>
                <w:sz w:val="18"/>
              </w:rPr>
              <w:t>住房改革支出</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2210201</w:t>
            </w:r>
          </w:p>
        </w:tc>
        <w:tc>
          <w:tcPr>
            <w:tcW w:w="3230" w:type="dxa"/>
          </w:tcPr>
          <w:p>
            <w:pPr>
              <w:pStyle w:val="TableParagraph"/>
              <w:spacing w:before="87"/>
              <w:ind w:left="15"/>
              <w:rPr>
                <w:sz w:val="18"/>
              </w:rPr>
            </w:pPr>
            <w:r>
              <w:rPr>
                <w:sz w:val="18"/>
              </w:rPr>
              <w:t>住房公积金</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224</w:t>
            </w:r>
          </w:p>
        </w:tc>
        <w:tc>
          <w:tcPr>
            <w:tcW w:w="3230" w:type="dxa"/>
          </w:tcPr>
          <w:p>
            <w:pPr>
              <w:pStyle w:val="TableParagraph"/>
              <w:spacing w:before="88"/>
              <w:ind w:left="15"/>
              <w:rPr>
                <w:sz w:val="18"/>
              </w:rPr>
            </w:pPr>
            <w:r>
              <w:rPr>
                <w:sz w:val="18"/>
              </w:rPr>
              <w:t>灾害防治及应急管理支出</w:t>
            </w:r>
          </w:p>
        </w:tc>
        <w:tc>
          <w:tcPr>
            <w:tcW w:w="1050" w:type="dxa"/>
          </w:tcPr>
          <w:p>
            <w:pPr>
              <w:pStyle w:val="TableParagraph"/>
              <w:spacing w:before="109"/>
              <w:ind w:left="283" w:right="276"/>
              <w:jc w:val="center"/>
              <w:rPr>
                <w:rFonts w:ascii="Times New Roman"/>
                <w:sz w:val="16"/>
              </w:rPr>
            </w:pPr>
            <w:r>
              <w:rPr>
                <w:rFonts w:ascii="Times New Roman"/>
                <w:sz w:val="16"/>
              </w:rPr>
              <w:t>210.73</w:t>
            </w:r>
          </w:p>
        </w:tc>
        <w:tc>
          <w:tcPr>
            <w:tcW w:w="976" w:type="dxa"/>
          </w:tcPr>
          <w:p>
            <w:pPr>
              <w:pStyle w:val="TableParagraph"/>
              <w:spacing w:before="109"/>
              <w:ind w:right="254"/>
              <w:jc w:val="right"/>
              <w:rPr>
                <w:rFonts w:ascii="Times New Roman"/>
                <w:sz w:val="16"/>
              </w:rPr>
            </w:pPr>
            <w:r>
              <w:rPr>
                <w:rFonts w:ascii="Times New Roman"/>
                <w:sz w:val="16"/>
              </w:rPr>
              <w:t>210.73</w:t>
            </w: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spacing w:before="109"/>
              <w:ind w:left="253" w:right="244"/>
              <w:jc w:val="center"/>
              <w:rPr>
                <w:rFonts w:ascii="Times New Roman"/>
                <w:sz w:val="16"/>
              </w:rPr>
            </w:pPr>
            <w:r>
              <w:rPr>
                <w:rFonts w:ascii="Times New Roman"/>
                <w:sz w:val="16"/>
              </w:rPr>
              <w:t>210.73</w:t>
            </w:r>
          </w:p>
        </w:tc>
      </w:tr>
      <w:tr>
        <w:trPr>
          <w:trHeight w:val="390" w:hRule="atLeast"/>
        </w:trPr>
        <w:tc>
          <w:tcPr>
            <w:tcW w:w="900" w:type="dxa"/>
          </w:tcPr>
          <w:p>
            <w:pPr>
              <w:pStyle w:val="TableParagraph"/>
              <w:spacing w:before="110"/>
              <w:ind w:left="15"/>
              <w:rPr>
                <w:rFonts w:ascii="Times New Roman"/>
                <w:sz w:val="16"/>
              </w:rPr>
            </w:pPr>
            <w:r>
              <w:rPr>
                <w:rFonts w:ascii="Times New Roman"/>
                <w:sz w:val="16"/>
              </w:rPr>
              <w:t>22402</w:t>
            </w:r>
          </w:p>
        </w:tc>
        <w:tc>
          <w:tcPr>
            <w:tcW w:w="3230" w:type="dxa"/>
          </w:tcPr>
          <w:p>
            <w:pPr>
              <w:pStyle w:val="TableParagraph"/>
              <w:spacing w:before="87"/>
              <w:ind w:left="15"/>
              <w:rPr>
                <w:sz w:val="18"/>
              </w:rPr>
            </w:pPr>
            <w:r>
              <w:rPr>
                <w:sz w:val="18"/>
              </w:rPr>
              <w:t>消防救援事务</w:t>
            </w:r>
          </w:p>
        </w:tc>
        <w:tc>
          <w:tcPr>
            <w:tcW w:w="1050" w:type="dxa"/>
          </w:tcPr>
          <w:p>
            <w:pPr>
              <w:pStyle w:val="TableParagraph"/>
              <w:spacing w:before="110"/>
              <w:ind w:left="283" w:right="276"/>
              <w:jc w:val="center"/>
              <w:rPr>
                <w:rFonts w:ascii="Times New Roman"/>
                <w:sz w:val="16"/>
              </w:rPr>
            </w:pPr>
            <w:r>
              <w:rPr>
                <w:rFonts w:ascii="Times New Roman"/>
                <w:sz w:val="16"/>
              </w:rPr>
              <w:t>210.73</w:t>
            </w:r>
          </w:p>
        </w:tc>
        <w:tc>
          <w:tcPr>
            <w:tcW w:w="976" w:type="dxa"/>
          </w:tcPr>
          <w:p>
            <w:pPr>
              <w:pStyle w:val="TableParagraph"/>
              <w:spacing w:before="110"/>
              <w:ind w:right="254"/>
              <w:jc w:val="right"/>
              <w:rPr>
                <w:rFonts w:ascii="Times New Roman"/>
                <w:sz w:val="16"/>
              </w:rPr>
            </w:pPr>
            <w:r>
              <w:rPr>
                <w:rFonts w:ascii="Times New Roman"/>
                <w:sz w:val="16"/>
              </w:rPr>
              <w:t>210.73</w:t>
            </w: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spacing w:before="110"/>
              <w:ind w:left="253" w:right="244"/>
              <w:jc w:val="center"/>
              <w:rPr>
                <w:rFonts w:ascii="Times New Roman"/>
                <w:sz w:val="16"/>
              </w:rPr>
            </w:pPr>
            <w:r>
              <w:rPr>
                <w:rFonts w:ascii="Times New Roman"/>
                <w:sz w:val="16"/>
              </w:rPr>
              <w:t>210.73</w:t>
            </w:r>
          </w:p>
        </w:tc>
      </w:tr>
      <w:tr>
        <w:trPr>
          <w:trHeight w:val="390" w:hRule="atLeast"/>
        </w:trPr>
        <w:tc>
          <w:tcPr>
            <w:tcW w:w="900" w:type="dxa"/>
          </w:tcPr>
          <w:p>
            <w:pPr>
              <w:pStyle w:val="TableParagraph"/>
              <w:spacing w:before="111"/>
              <w:ind w:left="15"/>
              <w:rPr>
                <w:rFonts w:ascii="Times New Roman"/>
                <w:sz w:val="16"/>
              </w:rPr>
            </w:pPr>
            <w:r>
              <w:rPr>
                <w:rFonts w:ascii="Times New Roman"/>
                <w:sz w:val="16"/>
              </w:rPr>
              <w:t>2240201</w:t>
            </w:r>
          </w:p>
        </w:tc>
        <w:tc>
          <w:tcPr>
            <w:tcW w:w="3230" w:type="dxa"/>
          </w:tcPr>
          <w:p>
            <w:pPr>
              <w:pStyle w:val="TableParagraph"/>
              <w:spacing w:before="87"/>
              <w:ind w:left="15"/>
              <w:rPr>
                <w:sz w:val="18"/>
              </w:rPr>
            </w:pPr>
            <w:r>
              <w:rPr>
                <w:sz w:val="18"/>
              </w:rPr>
              <w:t>行政运行</w:t>
            </w:r>
          </w:p>
        </w:tc>
        <w:tc>
          <w:tcPr>
            <w:tcW w:w="1050" w:type="dxa"/>
          </w:tcPr>
          <w:p>
            <w:pPr>
              <w:pStyle w:val="TableParagraph"/>
              <w:rPr>
                <w:rFonts w:ascii="Times New Roman"/>
                <w:sz w:val="16"/>
              </w:rPr>
            </w:pPr>
          </w:p>
        </w:tc>
        <w:tc>
          <w:tcPr>
            <w:tcW w:w="976" w:type="dxa"/>
          </w:tcPr>
          <w:p>
            <w:pPr>
              <w:pStyle w:val="TableParagraph"/>
              <w:rPr>
                <w:rFonts w:ascii="Times New Roman"/>
                <w:sz w:val="16"/>
              </w:rPr>
            </w:pP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rPr>
                <w:rFonts w:ascii="Times New Roman"/>
                <w:sz w:val="16"/>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2240204</w:t>
            </w:r>
          </w:p>
        </w:tc>
        <w:tc>
          <w:tcPr>
            <w:tcW w:w="3230" w:type="dxa"/>
          </w:tcPr>
          <w:p>
            <w:pPr>
              <w:pStyle w:val="TableParagraph"/>
              <w:spacing w:before="88"/>
              <w:ind w:left="15"/>
              <w:rPr>
                <w:sz w:val="18"/>
              </w:rPr>
            </w:pPr>
            <w:r>
              <w:rPr>
                <w:sz w:val="18"/>
              </w:rPr>
              <w:t>消防应急救援</w:t>
            </w:r>
          </w:p>
        </w:tc>
        <w:tc>
          <w:tcPr>
            <w:tcW w:w="1050" w:type="dxa"/>
          </w:tcPr>
          <w:p>
            <w:pPr>
              <w:pStyle w:val="TableParagraph"/>
              <w:spacing w:before="109"/>
              <w:ind w:left="283" w:right="276"/>
              <w:jc w:val="center"/>
              <w:rPr>
                <w:rFonts w:ascii="Times New Roman"/>
                <w:sz w:val="16"/>
              </w:rPr>
            </w:pPr>
            <w:r>
              <w:rPr>
                <w:rFonts w:ascii="Times New Roman"/>
                <w:sz w:val="16"/>
              </w:rPr>
              <w:t>210.73</w:t>
            </w:r>
          </w:p>
        </w:tc>
        <w:tc>
          <w:tcPr>
            <w:tcW w:w="976" w:type="dxa"/>
          </w:tcPr>
          <w:p>
            <w:pPr>
              <w:pStyle w:val="TableParagraph"/>
              <w:spacing w:before="109"/>
              <w:ind w:right="254"/>
              <w:jc w:val="right"/>
              <w:rPr>
                <w:rFonts w:ascii="Times New Roman"/>
                <w:sz w:val="16"/>
              </w:rPr>
            </w:pPr>
            <w:r>
              <w:rPr>
                <w:rFonts w:ascii="Times New Roman"/>
                <w:sz w:val="16"/>
              </w:rPr>
              <w:t>210.73</w:t>
            </w: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spacing w:before="109"/>
              <w:ind w:left="253" w:right="244"/>
              <w:jc w:val="center"/>
              <w:rPr>
                <w:rFonts w:ascii="Times New Roman"/>
                <w:sz w:val="16"/>
              </w:rPr>
            </w:pPr>
            <w:r>
              <w:rPr>
                <w:rFonts w:ascii="Times New Roman"/>
                <w:sz w:val="16"/>
              </w:rPr>
              <w:t>210.73</w:t>
            </w:r>
          </w:p>
        </w:tc>
      </w:tr>
      <w:tr>
        <w:trPr>
          <w:trHeight w:val="390" w:hRule="atLeast"/>
        </w:trPr>
        <w:tc>
          <w:tcPr>
            <w:tcW w:w="900" w:type="dxa"/>
          </w:tcPr>
          <w:p>
            <w:pPr>
              <w:pStyle w:val="TableParagraph"/>
              <w:rPr>
                <w:rFonts w:ascii="Times New Roman"/>
                <w:sz w:val="16"/>
              </w:rPr>
            </w:pPr>
          </w:p>
        </w:tc>
        <w:tc>
          <w:tcPr>
            <w:tcW w:w="3230" w:type="dxa"/>
          </w:tcPr>
          <w:p>
            <w:pPr>
              <w:pStyle w:val="TableParagraph"/>
              <w:tabs>
                <w:tab w:pos="2290" w:val="left" w:leader="none"/>
              </w:tabs>
              <w:spacing w:before="118"/>
              <w:ind w:left="759"/>
              <w:rPr>
                <w:b/>
                <w:sz w:val="18"/>
              </w:rPr>
            </w:pPr>
            <w:r>
              <w:rPr>
                <w:b/>
                <w:sz w:val="18"/>
              </w:rPr>
              <w:t>合</w:t>
              <w:tab/>
              <w:t>计</w:t>
            </w:r>
          </w:p>
        </w:tc>
        <w:tc>
          <w:tcPr>
            <w:tcW w:w="1050" w:type="dxa"/>
          </w:tcPr>
          <w:p>
            <w:pPr>
              <w:pStyle w:val="TableParagraph"/>
              <w:spacing w:before="110"/>
              <w:ind w:left="283" w:right="276"/>
              <w:jc w:val="center"/>
              <w:rPr>
                <w:rFonts w:ascii="Times New Roman"/>
                <w:b/>
                <w:sz w:val="16"/>
              </w:rPr>
            </w:pPr>
            <w:r>
              <w:rPr>
                <w:rFonts w:ascii="Times New Roman"/>
                <w:b/>
                <w:sz w:val="16"/>
              </w:rPr>
              <w:t>210.73</w:t>
            </w:r>
          </w:p>
        </w:tc>
        <w:tc>
          <w:tcPr>
            <w:tcW w:w="976" w:type="dxa"/>
          </w:tcPr>
          <w:p>
            <w:pPr>
              <w:pStyle w:val="TableParagraph"/>
              <w:spacing w:before="110"/>
              <w:ind w:right="254"/>
              <w:jc w:val="right"/>
              <w:rPr>
                <w:rFonts w:ascii="Times New Roman"/>
                <w:b/>
                <w:sz w:val="16"/>
              </w:rPr>
            </w:pPr>
            <w:r>
              <w:rPr>
                <w:rFonts w:ascii="Times New Roman"/>
                <w:b/>
                <w:sz w:val="16"/>
              </w:rPr>
              <w:t>210.73</w:t>
            </w:r>
          </w:p>
        </w:tc>
        <w:tc>
          <w:tcPr>
            <w:tcW w:w="1050" w:type="dxa"/>
          </w:tcPr>
          <w:p>
            <w:pPr>
              <w:pStyle w:val="TableParagraph"/>
              <w:rPr>
                <w:rFonts w:ascii="Times New Roman"/>
                <w:sz w:val="16"/>
              </w:rPr>
            </w:pPr>
          </w:p>
        </w:tc>
        <w:tc>
          <w:tcPr>
            <w:tcW w:w="1013" w:type="dxa"/>
          </w:tcPr>
          <w:p>
            <w:pPr>
              <w:pStyle w:val="TableParagraph"/>
              <w:rPr>
                <w:rFonts w:ascii="Times New Roman"/>
                <w:sz w:val="16"/>
              </w:rPr>
            </w:pPr>
          </w:p>
        </w:tc>
        <w:tc>
          <w:tcPr>
            <w:tcW w:w="987" w:type="dxa"/>
          </w:tcPr>
          <w:p>
            <w:pPr>
              <w:pStyle w:val="TableParagraph"/>
              <w:spacing w:before="110"/>
              <w:ind w:left="253" w:right="244"/>
              <w:jc w:val="center"/>
              <w:rPr>
                <w:rFonts w:ascii="Times New Roman"/>
                <w:b/>
                <w:sz w:val="16"/>
              </w:rPr>
            </w:pPr>
            <w:r>
              <w:rPr>
                <w:rFonts w:ascii="Times New Roman"/>
                <w:b/>
                <w:sz w:val="16"/>
              </w:rPr>
              <w:t>210.73</w:t>
            </w:r>
          </w:p>
        </w:tc>
      </w:tr>
    </w:tbl>
    <w:p>
      <w:pPr>
        <w:spacing w:after="0"/>
        <w:jc w:val="center"/>
        <w:rPr>
          <w:rFonts w:ascii="Times New Roman"/>
          <w:sz w:val="16"/>
        </w:rPr>
        <w:sectPr>
          <w:type w:val="continuous"/>
          <w:pgSz w:w="11910" w:h="16840"/>
          <w:pgMar w:top="1580" w:bottom="1180" w:left="200" w:right="80"/>
        </w:sectPr>
      </w:pPr>
    </w:p>
    <w:p>
      <w:pPr>
        <w:pStyle w:val="Heading2"/>
        <w:spacing w:before="404"/>
        <w:ind w:left="3160"/>
      </w:pPr>
      <w:r>
        <w:rPr>
          <w:spacing w:val="-2"/>
        </w:rPr>
        <w:t>一般公共预算基本支出表</w:t>
      </w:r>
    </w:p>
    <w:p>
      <w:pPr>
        <w:spacing w:before="60"/>
        <w:ind w:left="1102" w:right="1188" w:firstLine="0"/>
        <w:jc w:val="center"/>
        <w:rPr>
          <w:rFonts w:ascii="Times New Roman" w:eastAsia="Times New Roman"/>
          <w:sz w:val="20"/>
        </w:rPr>
      </w:pPr>
      <w:r>
        <w:rPr/>
        <w:br w:type="column"/>
      </w:r>
      <w:r>
        <w:rPr>
          <w:sz w:val="20"/>
        </w:rPr>
        <w:t>批复表 </w:t>
      </w:r>
      <w:r>
        <w:rPr>
          <w:rFonts w:ascii="Times New Roman" w:eastAsia="Times New Roman"/>
          <w:sz w:val="20"/>
        </w:rPr>
        <w:t>8</w:t>
      </w:r>
    </w:p>
    <w:p>
      <w:pPr>
        <w:spacing w:after="0"/>
        <w:jc w:val="center"/>
        <w:rPr>
          <w:rFonts w:ascii="Times New Roman" w:eastAsia="Times New Roman"/>
          <w:sz w:val="20"/>
        </w:rPr>
        <w:sectPr>
          <w:pgSz w:w="11910" w:h="16840"/>
          <w:pgMar w:header="0" w:footer="193" w:top="1400" w:bottom="460" w:left="200" w:right="80"/>
          <w:cols w:num="2" w:equalWidth="0">
            <w:col w:w="8460" w:space="40"/>
            <w:col w:w="3130"/>
          </w:cols>
        </w:sectPr>
      </w:pPr>
    </w:p>
    <w:p>
      <w:pPr>
        <w:tabs>
          <w:tab w:pos="9493" w:val="left" w:leader="none"/>
        </w:tabs>
        <w:spacing w:before="89" w:after="41"/>
        <w:ind w:left="1218" w:right="0" w:firstLine="0"/>
        <w:jc w:val="left"/>
        <w:rPr>
          <w:sz w:val="18"/>
        </w:rPr>
      </w:pPr>
      <w:r>
        <w:rPr>
          <w:sz w:val="18"/>
        </w:rPr>
        <w:t>单位：喀什市消防救援大队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6"/>
        <w:gridCol w:w="2575"/>
        <w:gridCol w:w="1738"/>
        <w:gridCol w:w="1687"/>
        <w:gridCol w:w="2100"/>
      </w:tblGrid>
      <w:tr>
        <w:trPr>
          <w:trHeight w:val="390" w:hRule="atLeast"/>
        </w:trPr>
        <w:tc>
          <w:tcPr>
            <w:tcW w:w="3681" w:type="dxa"/>
            <w:gridSpan w:val="2"/>
          </w:tcPr>
          <w:p>
            <w:pPr>
              <w:pStyle w:val="TableParagraph"/>
              <w:spacing w:before="87"/>
              <w:ind w:left="759"/>
              <w:rPr>
                <w:sz w:val="18"/>
              </w:rPr>
            </w:pPr>
            <w:r>
              <w:rPr>
                <w:sz w:val="18"/>
              </w:rPr>
              <w:t>部门预算支出经济分类科目</w:t>
            </w:r>
          </w:p>
        </w:tc>
        <w:tc>
          <w:tcPr>
            <w:tcW w:w="5525" w:type="dxa"/>
            <w:gridSpan w:val="3"/>
          </w:tcPr>
          <w:p>
            <w:pPr>
              <w:pStyle w:val="TableParagraph"/>
              <w:spacing w:before="87"/>
              <w:ind w:left="1681"/>
              <w:rPr>
                <w:sz w:val="18"/>
              </w:rPr>
            </w:pPr>
            <w:r>
              <w:rPr>
                <w:sz w:val="18"/>
              </w:rPr>
              <w:t>本年一般公共预算基本支出</w:t>
            </w:r>
          </w:p>
        </w:tc>
      </w:tr>
      <w:tr>
        <w:trPr>
          <w:trHeight w:val="390" w:hRule="atLeast"/>
        </w:trPr>
        <w:tc>
          <w:tcPr>
            <w:tcW w:w="1106" w:type="dxa"/>
          </w:tcPr>
          <w:p>
            <w:pPr>
              <w:pStyle w:val="TableParagraph"/>
              <w:spacing w:before="88"/>
              <w:ind w:left="192"/>
              <w:rPr>
                <w:sz w:val="18"/>
              </w:rPr>
            </w:pPr>
            <w:r>
              <w:rPr>
                <w:sz w:val="18"/>
              </w:rPr>
              <w:t>科目代码</w:t>
            </w:r>
          </w:p>
        </w:tc>
        <w:tc>
          <w:tcPr>
            <w:tcW w:w="2575" w:type="dxa"/>
          </w:tcPr>
          <w:p>
            <w:pPr>
              <w:pStyle w:val="TableParagraph"/>
              <w:spacing w:before="88"/>
              <w:ind w:left="907" w:right="897"/>
              <w:jc w:val="center"/>
              <w:rPr>
                <w:sz w:val="18"/>
              </w:rPr>
            </w:pPr>
            <w:r>
              <w:rPr>
                <w:sz w:val="18"/>
              </w:rPr>
              <w:t>科目名称</w:t>
            </w:r>
          </w:p>
        </w:tc>
        <w:tc>
          <w:tcPr>
            <w:tcW w:w="1738" w:type="dxa"/>
          </w:tcPr>
          <w:p>
            <w:pPr>
              <w:pStyle w:val="TableParagraph"/>
              <w:spacing w:before="88"/>
              <w:ind w:left="667" w:right="660"/>
              <w:jc w:val="center"/>
              <w:rPr>
                <w:sz w:val="18"/>
              </w:rPr>
            </w:pPr>
            <w:r>
              <w:rPr>
                <w:sz w:val="18"/>
              </w:rPr>
              <w:t>合计</w:t>
            </w:r>
          </w:p>
        </w:tc>
        <w:tc>
          <w:tcPr>
            <w:tcW w:w="1687" w:type="dxa"/>
          </w:tcPr>
          <w:p>
            <w:pPr>
              <w:pStyle w:val="TableParagraph"/>
              <w:spacing w:before="88"/>
              <w:ind w:left="483"/>
              <w:rPr>
                <w:sz w:val="18"/>
              </w:rPr>
            </w:pPr>
            <w:r>
              <w:rPr>
                <w:sz w:val="18"/>
              </w:rPr>
              <w:t>人员经费</w:t>
            </w:r>
          </w:p>
        </w:tc>
        <w:tc>
          <w:tcPr>
            <w:tcW w:w="2100" w:type="dxa"/>
          </w:tcPr>
          <w:p>
            <w:pPr>
              <w:pStyle w:val="TableParagraph"/>
              <w:spacing w:before="88"/>
              <w:ind w:left="689"/>
              <w:rPr>
                <w:sz w:val="18"/>
              </w:rPr>
            </w:pPr>
            <w:r>
              <w:rPr>
                <w:sz w:val="18"/>
              </w:rPr>
              <w:t>公用经费</w:t>
            </w:r>
          </w:p>
        </w:tc>
      </w:tr>
      <w:tr>
        <w:trPr>
          <w:trHeight w:val="390" w:hRule="atLeast"/>
        </w:trPr>
        <w:tc>
          <w:tcPr>
            <w:tcW w:w="1106" w:type="dxa"/>
          </w:tcPr>
          <w:p>
            <w:pPr>
              <w:pStyle w:val="TableParagraph"/>
              <w:spacing w:before="110"/>
              <w:ind w:left="15"/>
              <w:rPr>
                <w:rFonts w:ascii="Times New Roman"/>
                <w:b/>
                <w:sz w:val="16"/>
              </w:rPr>
            </w:pPr>
            <w:r>
              <w:rPr>
                <w:rFonts w:ascii="Times New Roman"/>
                <w:b/>
                <w:sz w:val="16"/>
              </w:rPr>
              <w:t>301</w:t>
            </w:r>
          </w:p>
        </w:tc>
        <w:tc>
          <w:tcPr>
            <w:tcW w:w="2575" w:type="dxa"/>
          </w:tcPr>
          <w:p>
            <w:pPr>
              <w:pStyle w:val="TableParagraph"/>
              <w:spacing w:before="89"/>
              <w:ind w:left="15"/>
              <w:rPr>
                <w:b/>
                <w:sz w:val="18"/>
              </w:rPr>
            </w:pPr>
            <w:r>
              <w:rPr>
                <w:b/>
                <w:sz w:val="18"/>
              </w:rPr>
              <w:t>工资福利支出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30101</w:t>
            </w:r>
          </w:p>
        </w:tc>
        <w:tc>
          <w:tcPr>
            <w:tcW w:w="2575" w:type="dxa"/>
          </w:tcPr>
          <w:p>
            <w:pPr>
              <w:pStyle w:val="TableParagraph"/>
              <w:spacing w:before="87"/>
              <w:ind w:left="15"/>
              <w:rPr>
                <w:sz w:val="18"/>
              </w:rPr>
            </w:pPr>
            <w:r>
              <w:rPr>
                <w:sz w:val="18"/>
              </w:rPr>
              <w:t>基本工资</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30102</w:t>
            </w:r>
          </w:p>
        </w:tc>
        <w:tc>
          <w:tcPr>
            <w:tcW w:w="2575" w:type="dxa"/>
          </w:tcPr>
          <w:p>
            <w:pPr>
              <w:pStyle w:val="TableParagraph"/>
              <w:spacing w:before="88"/>
              <w:ind w:left="15"/>
              <w:rPr>
                <w:sz w:val="18"/>
              </w:rPr>
            </w:pPr>
            <w:r>
              <w:rPr>
                <w:sz w:val="18"/>
              </w:rPr>
              <w:t>津贴补贴</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30108</w:t>
            </w:r>
          </w:p>
        </w:tc>
        <w:tc>
          <w:tcPr>
            <w:tcW w:w="2575" w:type="dxa"/>
          </w:tcPr>
          <w:p>
            <w:pPr>
              <w:pStyle w:val="TableParagraph"/>
              <w:spacing w:before="89"/>
              <w:ind w:left="15"/>
              <w:rPr>
                <w:sz w:val="18"/>
              </w:rPr>
            </w:pPr>
            <w:r>
              <w:rPr>
                <w:sz w:val="18"/>
              </w:rPr>
              <w:t>机关事业单位基本养老保险缴费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30109</w:t>
            </w:r>
          </w:p>
        </w:tc>
        <w:tc>
          <w:tcPr>
            <w:tcW w:w="2575" w:type="dxa"/>
          </w:tcPr>
          <w:p>
            <w:pPr>
              <w:pStyle w:val="TableParagraph"/>
              <w:spacing w:before="87"/>
              <w:ind w:left="15"/>
              <w:rPr>
                <w:sz w:val="18"/>
              </w:rPr>
            </w:pPr>
            <w:r>
              <w:rPr>
                <w:sz w:val="18"/>
              </w:rPr>
              <w:t>职业年金缴费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30110</w:t>
            </w:r>
          </w:p>
        </w:tc>
        <w:tc>
          <w:tcPr>
            <w:tcW w:w="2575" w:type="dxa"/>
          </w:tcPr>
          <w:p>
            <w:pPr>
              <w:pStyle w:val="TableParagraph"/>
              <w:spacing w:before="88"/>
              <w:ind w:left="15"/>
              <w:rPr>
                <w:sz w:val="18"/>
              </w:rPr>
            </w:pPr>
            <w:r>
              <w:rPr>
                <w:sz w:val="18"/>
              </w:rPr>
              <w:t>职工基本医疗保险缴费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30113</w:t>
            </w:r>
          </w:p>
        </w:tc>
        <w:tc>
          <w:tcPr>
            <w:tcW w:w="2575" w:type="dxa"/>
          </w:tcPr>
          <w:p>
            <w:pPr>
              <w:pStyle w:val="TableParagraph"/>
              <w:spacing w:before="89"/>
              <w:ind w:left="15"/>
              <w:rPr>
                <w:sz w:val="18"/>
              </w:rPr>
            </w:pPr>
            <w:r>
              <w:rPr>
                <w:sz w:val="18"/>
              </w:rPr>
              <w:t>住房公积金</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30114</w:t>
            </w:r>
          </w:p>
        </w:tc>
        <w:tc>
          <w:tcPr>
            <w:tcW w:w="2575" w:type="dxa"/>
          </w:tcPr>
          <w:p>
            <w:pPr>
              <w:pStyle w:val="TableParagraph"/>
              <w:spacing w:before="87"/>
              <w:ind w:left="15"/>
              <w:rPr>
                <w:sz w:val="18"/>
              </w:rPr>
            </w:pPr>
            <w:r>
              <w:rPr>
                <w:sz w:val="18"/>
              </w:rPr>
              <w:t>医疗费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30199</w:t>
            </w:r>
          </w:p>
        </w:tc>
        <w:tc>
          <w:tcPr>
            <w:tcW w:w="2575" w:type="dxa"/>
          </w:tcPr>
          <w:p>
            <w:pPr>
              <w:pStyle w:val="TableParagraph"/>
              <w:spacing w:before="88"/>
              <w:ind w:left="15"/>
              <w:rPr>
                <w:sz w:val="18"/>
              </w:rPr>
            </w:pPr>
            <w:r>
              <w:rPr>
                <w:sz w:val="18"/>
              </w:rPr>
              <w:t>其他工资福利支出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b/>
                <w:sz w:val="16"/>
              </w:rPr>
            </w:pPr>
            <w:r>
              <w:rPr>
                <w:rFonts w:ascii="Times New Roman"/>
                <w:b/>
                <w:sz w:val="16"/>
              </w:rPr>
              <w:t>302</w:t>
            </w:r>
          </w:p>
        </w:tc>
        <w:tc>
          <w:tcPr>
            <w:tcW w:w="2575" w:type="dxa"/>
          </w:tcPr>
          <w:p>
            <w:pPr>
              <w:pStyle w:val="TableParagraph"/>
              <w:spacing w:before="89"/>
              <w:ind w:left="15"/>
              <w:rPr>
                <w:b/>
                <w:sz w:val="18"/>
              </w:rPr>
            </w:pPr>
            <w:r>
              <w:rPr>
                <w:b/>
                <w:sz w:val="18"/>
              </w:rPr>
              <w:t>商品和服务支出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30201</w:t>
            </w:r>
          </w:p>
        </w:tc>
        <w:tc>
          <w:tcPr>
            <w:tcW w:w="2575" w:type="dxa"/>
          </w:tcPr>
          <w:p>
            <w:pPr>
              <w:pStyle w:val="TableParagraph"/>
              <w:spacing w:before="87"/>
              <w:ind w:left="15"/>
              <w:rPr>
                <w:sz w:val="18"/>
              </w:rPr>
            </w:pPr>
            <w:r>
              <w:rPr>
                <w:sz w:val="18"/>
              </w:rPr>
              <w:t>办公费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30202</w:t>
            </w:r>
          </w:p>
        </w:tc>
        <w:tc>
          <w:tcPr>
            <w:tcW w:w="2575" w:type="dxa"/>
          </w:tcPr>
          <w:p>
            <w:pPr>
              <w:pStyle w:val="TableParagraph"/>
              <w:spacing w:before="88"/>
              <w:ind w:left="15"/>
              <w:rPr>
                <w:sz w:val="18"/>
              </w:rPr>
            </w:pPr>
            <w:r>
              <w:rPr>
                <w:sz w:val="18"/>
              </w:rPr>
              <w:t>印刷费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30203</w:t>
            </w:r>
          </w:p>
        </w:tc>
        <w:tc>
          <w:tcPr>
            <w:tcW w:w="2575" w:type="dxa"/>
          </w:tcPr>
          <w:p>
            <w:pPr>
              <w:pStyle w:val="TableParagraph"/>
              <w:spacing w:before="89"/>
              <w:ind w:left="15"/>
              <w:rPr>
                <w:sz w:val="18"/>
              </w:rPr>
            </w:pPr>
            <w:r>
              <w:rPr>
                <w:sz w:val="18"/>
              </w:rPr>
              <w:t>咨询费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30205</w:t>
            </w:r>
          </w:p>
        </w:tc>
        <w:tc>
          <w:tcPr>
            <w:tcW w:w="2575" w:type="dxa"/>
          </w:tcPr>
          <w:p>
            <w:pPr>
              <w:pStyle w:val="TableParagraph"/>
              <w:spacing w:before="87"/>
              <w:ind w:left="15"/>
              <w:rPr>
                <w:sz w:val="18"/>
              </w:rPr>
            </w:pPr>
            <w:r>
              <w:rPr>
                <w:sz w:val="18"/>
              </w:rPr>
              <w:t>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30206</w:t>
            </w:r>
          </w:p>
        </w:tc>
        <w:tc>
          <w:tcPr>
            <w:tcW w:w="2575" w:type="dxa"/>
          </w:tcPr>
          <w:p>
            <w:pPr>
              <w:pStyle w:val="TableParagraph"/>
              <w:spacing w:before="88"/>
              <w:ind w:left="15"/>
              <w:rPr>
                <w:sz w:val="18"/>
              </w:rPr>
            </w:pPr>
            <w:r>
              <w:rPr>
                <w:sz w:val="18"/>
              </w:rPr>
              <w:t>电费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30207</w:t>
            </w:r>
          </w:p>
        </w:tc>
        <w:tc>
          <w:tcPr>
            <w:tcW w:w="2575" w:type="dxa"/>
          </w:tcPr>
          <w:p>
            <w:pPr>
              <w:pStyle w:val="TableParagraph"/>
              <w:spacing w:before="89"/>
              <w:ind w:left="15"/>
              <w:rPr>
                <w:sz w:val="18"/>
              </w:rPr>
            </w:pPr>
            <w:r>
              <w:rPr>
                <w:sz w:val="18"/>
              </w:rPr>
              <w:t>邮电费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30208</w:t>
            </w:r>
          </w:p>
        </w:tc>
        <w:tc>
          <w:tcPr>
            <w:tcW w:w="2575" w:type="dxa"/>
          </w:tcPr>
          <w:p>
            <w:pPr>
              <w:pStyle w:val="TableParagraph"/>
              <w:spacing w:before="87"/>
              <w:ind w:left="15"/>
              <w:rPr>
                <w:sz w:val="18"/>
              </w:rPr>
            </w:pPr>
            <w:r>
              <w:rPr>
                <w:sz w:val="18"/>
              </w:rPr>
              <w:t>取暖费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30209</w:t>
            </w:r>
          </w:p>
        </w:tc>
        <w:tc>
          <w:tcPr>
            <w:tcW w:w="2575" w:type="dxa"/>
          </w:tcPr>
          <w:p>
            <w:pPr>
              <w:pStyle w:val="TableParagraph"/>
              <w:spacing w:before="88"/>
              <w:ind w:left="15"/>
              <w:rPr>
                <w:sz w:val="18"/>
              </w:rPr>
            </w:pPr>
            <w:r>
              <w:rPr>
                <w:sz w:val="18"/>
              </w:rPr>
              <w:t>物业管理费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30211</w:t>
            </w:r>
          </w:p>
        </w:tc>
        <w:tc>
          <w:tcPr>
            <w:tcW w:w="2575" w:type="dxa"/>
          </w:tcPr>
          <w:p>
            <w:pPr>
              <w:pStyle w:val="TableParagraph"/>
              <w:spacing w:before="89"/>
              <w:ind w:left="15"/>
              <w:rPr>
                <w:sz w:val="18"/>
              </w:rPr>
            </w:pPr>
            <w:r>
              <w:rPr>
                <w:sz w:val="18"/>
              </w:rPr>
              <w:t>差旅费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30213</w:t>
            </w:r>
          </w:p>
        </w:tc>
        <w:tc>
          <w:tcPr>
            <w:tcW w:w="2575" w:type="dxa"/>
          </w:tcPr>
          <w:p>
            <w:pPr>
              <w:pStyle w:val="TableParagraph"/>
              <w:spacing w:before="87"/>
              <w:ind w:left="15"/>
              <w:rPr>
                <w:sz w:val="18"/>
              </w:rPr>
            </w:pPr>
            <w:r>
              <w:rPr>
                <w:sz w:val="18"/>
              </w:rPr>
              <w:t>维修（护）费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30216</w:t>
            </w:r>
          </w:p>
        </w:tc>
        <w:tc>
          <w:tcPr>
            <w:tcW w:w="2575" w:type="dxa"/>
          </w:tcPr>
          <w:p>
            <w:pPr>
              <w:pStyle w:val="TableParagraph"/>
              <w:spacing w:before="88"/>
              <w:ind w:left="15"/>
              <w:rPr>
                <w:sz w:val="18"/>
              </w:rPr>
            </w:pPr>
            <w:r>
              <w:rPr>
                <w:sz w:val="18"/>
              </w:rPr>
              <w:t>培训费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30218</w:t>
            </w:r>
          </w:p>
        </w:tc>
        <w:tc>
          <w:tcPr>
            <w:tcW w:w="2575" w:type="dxa"/>
          </w:tcPr>
          <w:p>
            <w:pPr>
              <w:pStyle w:val="TableParagraph"/>
              <w:spacing w:before="89"/>
              <w:ind w:left="15"/>
              <w:rPr>
                <w:sz w:val="18"/>
              </w:rPr>
            </w:pPr>
            <w:r>
              <w:rPr>
                <w:sz w:val="18"/>
              </w:rPr>
              <w:t>专用材料费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30225</w:t>
            </w:r>
          </w:p>
        </w:tc>
        <w:tc>
          <w:tcPr>
            <w:tcW w:w="2575" w:type="dxa"/>
          </w:tcPr>
          <w:p>
            <w:pPr>
              <w:pStyle w:val="TableParagraph"/>
              <w:spacing w:before="87"/>
              <w:ind w:left="15"/>
              <w:rPr>
                <w:sz w:val="18"/>
              </w:rPr>
            </w:pPr>
            <w:r>
              <w:rPr>
                <w:sz w:val="18"/>
              </w:rPr>
              <w:t>专用燃料费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30226</w:t>
            </w:r>
          </w:p>
        </w:tc>
        <w:tc>
          <w:tcPr>
            <w:tcW w:w="2575" w:type="dxa"/>
          </w:tcPr>
          <w:p>
            <w:pPr>
              <w:pStyle w:val="TableParagraph"/>
              <w:spacing w:before="88"/>
              <w:ind w:left="15"/>
              <w:rPr>
                <w:sz w:val="18"/>
              </w:rPr>
            </w:pPr>
            <w:r>
              <w:rPr>
                <w:sz w:val="18"/>
              </w:rPr>
              <w:t>劳务费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30227</w:t>
            </w:r>
          </w:p>
        </w:tc>
        <w:tc>
          <w:tcPr>
            <w:tcW w:w="2575" w:type="dxa"/>
          </w:tcPr>
          <w:p>
            <w:pPr>
              <w:pStyle w:val="TableParagraph"/>
              <w:spacing w:before="89"/>
              <w:ind w:left="15"/>
              <w:rPr>
                <w:sz w:val="18"/>
              </w:rPr>
            </w:pPr>
            <w:r>
              <w:rPr>
                <w:sz w:val="18"/>
              </w:rPr>
              <w:t>委托业务费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30231</w:t>
            </w:r>
          </w:p>
        </w:tc>
        <w:tc>
          <w:tcPr>
            <w:tcW w:w="2575" w:type="dxa"/>
          </w:tcPr>
          <w:p>
            <w:pPr>
              <w:pStyle w:val="TableParagraph"/>
              <w:spacing w:before="87"/>
              <w:ind w:left="15"/>
              <w:rPr>
                <w:sz w:val="18"/>
              </w:rPr>
            </w:pPr>
            <w:r>
              <w:rPr>
                <w:sz w:val="18"/>
              </w:rPr>
              <w:t>公务用车运行维护费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30299</w:t>
            </w:r>
          </w:p>
        </w:tc>
        <w:tc>
          <w:tcPr>
            <w:tcW w:w="2575" w:type="dxa"/>
          </w:tcPr>
          <w:p>
            <w:pPr>
              <w:pStyle w:val="TableParagraph"/>
              <w:spacing w:before="88"/>
              <w:ind w:left="15"/>
              <w:rPr>
                <w:sz w:val="18"/>
              </w:rPr>
            </w:pPr>
            <w:r>
              <w:rPr>
                <w:sz w:val="18"/>
              </w:rPr>
              <w:t>其他商品和服务支出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b/>
                <w:sz w:val="16"/>
              </w:rPr>
            </w:pPr>
            <w:r>
              <w:rPr>
                <w:rFonts w:ascii="Times New Roman"/>
                <w:b/>
                <w:sz w:val="16"/>
              </w:rPr>
              <w:t>303</w:t>
            </w:r>
          </w:p>
        </w:tc>
        <w:tc>
          <w:tcPr>
            <w:tcW w:w="2575" w:type="dxa"/>
          </w:tcPr>
          <w:p>
            <w:pPr>
              <w:pStyle w:val="TableParagraph"/>
              <w:spacing w:before="89"/>
              <w:ind w:left="15"/>
              <w:rPr>
                <w:b/>
                <w:sz w:val="18"/>
              </w:rPr>
            </w:pPr>
            <w:r>
              <w:rPr>
                <w:b/>
                <w:sz w:val="18"/>
              </w:rPr>
              <w:t>对个人和家庭的补助</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87" w:hRule="atLeast"/>
        </w:trPr>
        <w:tc>
          <w:tcPr>
            <w:tcW w:w="1106" w:type="dxa"/>
          </w:tcPr>
          <w:p>
            <w:pPr>
              <w:pStyle w:val="TableParagraph"/>
              <w:spacing w:before="111"/>
              <w:ind w:left="15"/>
              <w:rPr>
                <w:rFonts w:ascii="Times New Roman"/>
                <w:sz w:val="16"/>
              </w:rPr>
            </w:pPr>
            <w:r>
              <w:rPr>
                <w:rFonts w:ascii="Times New Roman"/>
                <w:sz w:val="16"/>
              </w:rPr>
              <w:t>30302</w:t>
            </w:r>
          </w:p>
        </w:tc>
        <w:tc>
          <w:tcPr>
            <w:tcW w:w="2575" w:type="dxa"/>
          </w:tcPr>
          <w:p>
            <w:pPr>
              <w:pStyle w:val="TableParagraph"/>
              <w:spacing w:before="87"/>
              <w:ind w:left="15"/>
              <w:rPr>
                <w:sz w:val="18"/>
              </w:rPr>
            </w:pPr>
            <w:r>
              <w:rPr>
                <w:sz w:val="18"/>
              </w:rPr>
              <w:t>退休费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bl>
    <w:p>
      <w:pPr>
        <w:spacing w:after="0"/>
        <w:rPr>
          <w:rFonts w:ascii="Times New Roman"/>
          <w:sz w:val="18"/>
        </w:rPr>
        <w:sectPr>
          <w:type w:val="continuous"/>
          <w:pgSz w:w="11910" w:h="16840"/>
          <w:pgMar w:top="1580" w:bottom="1180" w:left="200" w:right="80"/>
        </w:sect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6"/>
        <w:gridCol w:w="2575"/>
        <w:gridCol w:w="1738"/>
        <w:gridCol w:w="1687"/>
        <w:gridCol w:w="2100"/>
      </w:tblGrid>
      <w:tr>
        <w:trPr>
          <w:trHeight w:val="390" w:hRule="atLeast"/>
        </w:trPr>
        <w:tc>
          <w:tcPr>
            <w:tcW w:w="1106" w:type="dxa"/>
          </w:tcPr>
          <w:p>
            <w:pPr>
              <w:pStyle w:val="TableParagraph"/>
              <w:spacing w:before="111"/>
              <w:ind w:left="15"/>
              <w:rPr>
                <w:rFonts w:ascii="Times New Roman"/>
                <w:sz w:val="16"/>
              </w:rPr>
            </w:pPr>
            <w:r>
              <w:rPr>
                <w:rFonts w:ascii="Times New Roman"/>
                <w:sz w:val="16"/>
              </w:rPr>
              <w:t>30304</w:t>
            </w:r>
          </w:p>
        </w:tc>
        <w:tc>
          <w:tcPr>
            <w:tcW w:w="2575" w:type="dxa"/>
          </w:tcPr>
          <w:p>
            <w:pPr>
              <w:pStyle w:val="TableParagraph"/>
              <w:spacing w:before="87"/>
              <w:ind w:left="15"/>
              <w:rPr>
                <w:sz w:val="18"/>
              </w:rPr>
            </w:pPr>
            <w:r>
              <w:rPr>
                <w:sz w:val="18"/>
              </w:rPr>
              <w:t>抚恤金</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30309</w:t>
            </w:r>
          </w:p>
        </w:tc>
        <w:tc>
          <w:tcPr>
            <w:tcW w:w="2575" w:type="dxa"/>
          </w:tcPr>
          <w:p>
            <w:pPr>
              <w:pStyle w:val="TableParagraph"/>
              <w:spacing w:before="88"/>
              <w:ind w:left="15"/>
              <w:rPr>
                <w:sz w:val="18"/>
              </w:rPr>
            </w:pPr>
            <w:r>
              <w:rPr>
                <w:sz w:val="18"/>
              </w:rPr>
              <w:t>奖励金</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30399</w:t>
            </w:r>
          </w:p>
        </w:tc>
        <w:tc>
          <w:tcPr>
            <w:tcW w:w="2575" w:type="dxa"/>
          </w:tcPr>
          <w:p>
            <w:pPr>
              <w:pStyle w:val="TableParagraph"/>
              <w:spacing w:before="89"/>
              <w:ind w:left="15"/>
              <w:rPr>
                <w:sz w:val="18"/>
              </w:rPr>
            </w:pPr>
            <w:r>
              <w:rPr>
                <w:sz w:val="18"/>
              </w:rPr>
              <w:t>其他对个人和家庭的补助</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1"/>
              <w:ind w:left="15"/>
              <w:rPr>
                <w:rFonts w:ascii="Times New Roman"/>
                <w:b/>
                <w:sz w:val="16"/>
              </w:rPr>
            </w:pPr>
            <w:r>
              <w:rPr>
                <w:rFonts w:ascii="Times New Roman"/>
                <w:b/>
                <w:sz w:val="16"/>
              </w:rPr>
              <w:t>310</w:t>
            </w:r>
          </w:p>
        </w:tc>
        <w:tc>
          <w:tcPr>
            <w:tcW w:w="2575" w:type="dxa"/>
          </w:tcPr>
          <w:p>
            <w:pPr>
              <w:pStyle w:val="TableParagraph"/>
              <w:spacing w:before="87"/>
              <w:ind w:left="15"/>
              <w:rPr>
                <w:b/>
                <w:sz w:val="18"/>
              </w:rPr>
            </w:pPr>
            <w:r>
              <w:rPr>
                <w:b/>
                <w:sz w:val="18"/>
              </w:rPr>
              <w:t>资本性支出</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31002</w:t>
            </w:r>
          </w:p>
        </w:tc>
        <w:tc>
          <w:tcPr>
            <w:tcW w:w="2575" w:type="dxa"/>
          </w:tcPr>
          <w:p>
            <w:pPr>
              <w:pStyle w:val="TableParagraph"/>
              <w:spacing w:before="88"/>
              <w:ind w:left="15"/>
              <w:rPr>
                <w:sz w:val="18"/>
              </w:rPr>
            </w:pPr>
            <w:r>
              <w:rPr>
                <w:sz w:val="18"/>
              </w:rPr>
              <w:t>办公设备购置</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31007</w:t>
            </w:r>
          </w:p>
        </w:tc>
        <w:tc>
          <w:tcPr>
            <w:tcW w:w="2575" w:type="dxa"/>
          </w:tcPr>
          <w:p>
            <w:pPr>
              <w:pStyle w:val="TableParagraph"/>
              <w:spacing w:before="89"/>
              <w:ind w:left="15"/>
              <w:rPr>
                <w:sz w:val="18"/>
              </w:rPr>
            </w:pPr>
            <w:r>
              <w:rPr>
                <w:sz w:val="18"/>
              </w:rPr>
              <w:t>信息网络及软件购置更新</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rPr>
                <w:rFonts w:ascii="Times New Roman"/>
                <w:sz w:val="16"/>
              </w:rPr>
            </w:pPr>
          </w:p>
        </w:tc>
        <w:tc>
          <w:tcPr>
            <w:tcW w:w="2575" w:type="dxa"/>
          </w:tcPr>
          <w:p>
            <w:pPr>
              <w:pStyle w:val="TableParagraph"/>
              <w:tabs>
                <w:tab w:pos="1647" w:val="left" w:leader="none"/>
              </w:tabs>
              <w:spacing w:before="87"/>
              <w:ind w:left="747"/>
              <w:rPr>
                <w:b/>
                <w:sz w:val="18"/>
              </w:rPr>
            </w:pPr>
            <w:r>
              <w:rPr>
                <w:b/>
                <w:sz w:val="18"/>
              </w:rPr>
              <w:t>合</w:t>
              <w:tab/>
              <w:t>计</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bl>
    <w:p>
      <w:pPr>
        <w:spacing w:after="0"/>
        <w:rPr>
          <w:rFonts w:ascii="Times New Roman"/>
          <w:sz w:val="16"/>
        </w:rPr>
        <w:sectPr>
          <w:pgSz w:w="11910" w:h="16840"/>
          <w:pgMar w:header="0" w:footer="193" w:top="1400" w:bottom="380" w:left="200" w:right="80"/>
        </w:sectPr>
      </w:pPr>
    </w:p>
    <w:p>
      <w:pPr>
        <w:pStyle w:val="Heading2"/>
        <w:ind w:left="3652"/>
      </w:pPr>
      <w:r>
        <w:rPr>
          <w:spacing w:val="-2"/>
        </w:rPr>
        <w:t>政府性基金预算支出表</w:t>
      </w:r>
    </w:p>
    <w:p>
      <w:pPr>
        <w:spacing w:before="49"/>
        <w:ind w:left="1635" w:right="0" w:firstLine="0"/>
        <w:jc w:val="left"/>
        <w:rPr>
          <w:rFonts w:ascii="Times New Roman" w:eastAsia="Times New Roman"/>
          <w:sz w:val="20"/>
        </w:rPr>
      </w:pPr>
      <w:r>
        <w:rPr/>
        <w:br w:type="column"/>
      </w:r>
      <w:r>
        <w:rPr>
          <w:sz w:val="20"/>
        </w:rPr>
        <w:t>批复表 </w:t>
      </w:r>
      <w:r>
        <w:rPr>
          <w:rFonts w:ascii="Times New Roman" w:eastAsia="Times New Roman"/>
          <w:sz w:val="20"/>
        </w:rPr>
        <w:t>6</w:t>
      </w:r>
    </w:p>
    <w:p>
      <w:pPr>
        <w:spacing w:after="0"/>
        <w:jc w:val="left"/>
        <w:rPr>
          <w:rFonts w:ascii="Times New Roman" w:eastAsia="Times New Roman"/>
          <w:sz w:val="20"/>
        </w:rPr>
        <w:sectPr>
          <w:pgSz w:w="11910" w:h="16840"/>
          <w:pgMar w:header="0" w:footer="193" w:top="1440" w:bottom="380" w:left="200" w:right="80"/>
          <w:cols w:num="2" w:equalWidth="0">
            <w:col w:w="8469" w:space="40"/>
            <w:col w:w="3121"/>
          </w:cols>
        </w:sectPr>
      </w:pPr>
    </w:p>
    <w:p>
      <w:pPr>
        <w:tabs>
          <w:tab w:pos="9992" w:val="left" w:leader="none"/>
        </w:tabs>
        <w:spacing w:before="81" w:after="41"/>
        <w:ind w:left="1218" w:right="0" w:firstLine="0"/>
        <w:jc w:val="left"/>
        <w:rPr>
          <w:sz w:val="18"/>
        </w:rPr>
      </w:pPr>
      <w:r>
        <w:rPr>
          <w:sz w:val="18"/>
        </w:rPr>
        <w:t>单位：喀什市消防救援大队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5"/>
        <w:gridCol w:w="1605"/>
        <w:gridCol w:w="996"/>
        <w:gridCol w:w="888"/>
        <w:gridCol w:w="1537"/>
        <w:gridCol w:w="1750"/>
        <w:gridCol w:w="2075"/>
      </w:tblGrid>
      <w:tr>
        <w:trPr>
          <w:trHeight w:val="480" w:hRule="atLeast"/>
        </w:trPr>
        <w:tc>
          <w:tcPr>
            <w:tcW w:w="855" w:type="dxa"/>
            <w:vMerge w:val="restart"/>
          </w:tcPr>
          <w:p>
            <w:pPr>
              <w:pStyle w:val="TableParagraph"/>
              <w:rPr>
                <w:sz w:val="18"/>
              </w:rPr>
            </w:pPr>
          </w:p>
          <w:p>
            <w:pPr>
              <w:pStyle w:val="TableParagraph"/>
              <w:rPr>
                <w:sz w:val="18"/>
              </w:rPr>
            </w:pPr>
          </w:p>
          <w:p>
            <w:pPr>
              <w:pStyle w:val="TableParagraph"/>
              <w:spacing w:before="116"/>
              <w:ind w:left="65"/>
              <w:rPr>
                <w:sz w:val="18"/>
              </w:rPr>
            </w:pPr>
            <w:r>
              <w:rPr>
                <w:sz w:val="18"/>
              </w:rPr>
              <w:t>科目代码</w:t>
            </w:r>
          </w:p>
        </w:tc>
        <w:tc>
          <w:tcPr>
            <w:tcW w:w="1605" w:type="dxa"/>
            <w:vMerge w:val="restart"/>
          </w:tcPr>
          <w:p>
            <w:pPr>
              <w:pStyle w:val="TableParagraph"/>
              <w:rPr>
                <w:sz w:val="18"/>
              </w:rPr>
            </w:pPr>
          </w:p>
          <w:p>
            <w:pPr>
              <w:pStyle w:val="TableParagraph"/>
              <w:rPr>
                <w:sz w:val="18"/>
              </w:rPr>
            </w:pPr>
          </w:p>
          <w:p>
            <w:pPr>
              <w:pStyle w:val="TableParagraph"/>
              <w:spacing w:before="116"/>
              <w:ind w:left="441"/>
              <w:rPr>
                <w:sz w:val="18"/>
              </w:rPr>
            </w:pPr>
            <w:r>
              <w:rPr>
                <w:sz w:val="18"/>
              </w:rPr>
              <w:t>科目名称</w:t>
            </w:r>
          </w:p>
        </w:tc>
        <w:tc>
          <w:tcPr>
            <w:tcW w:w="7246" w:type="dxa"/>
            <w:gridSpan w:val="5"/>
          </w:tcPr>
          <w:p>
            <w:pPr>
              <w:pStyle w:val="TableParagraph"/>
              <w:spacing w:before="133"/>
              <w:ind w:left="2522" w:right="2511"/>
              <w:jc w:val="center"/>
              <w:rPr>
                <w:sz w:val="18"/>
              </w:rPr>
            </w:pPr>
            <w:r>
              <w:rPr>
                <w:sz w:val="18"/>
              </w:rPr>
              <w:t>本年政府性基金预算支出</w:t>
            </w:r>
          </w:p>
        </w:tc>
      </w:tr>
      <w:tr>
        <w:trPr>
          <w:trHeight w:val="435"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96" w:type="dxa"/>
            <w:vMerge w:val="restart"/>
          </w:tcPr>
          <w:p>
            <w:pPr>
              <w:pStyle w:val="TableParagraph"/>
              <w:spacing w:before="12"/>
              <w:rPr>
                <w:sz w:val="25"/>
              </w:rPr>
            </w:pPr>
          </w:p>
          <w:p>
            <w:pPr>
              <w:pStyle w:val="TableParagraph"/>
              <w:ind w:left="317"/>
              <w:rPr>
                <w:sz w:val="18"/>
              </w:rPr>
            </w:pPr>
            <w:r>
              <w:rPr>
                <w:sz w:val="18"/>
              </w:rPr>
              <w:t>合计</w:t>
            </w:r>
          </w:p>
        </w:tc>
        <w:tc>
          <w:tcPr>
            <w:tcW w:w="4175" w:type="dxa"/>
            <w:gridSpan w:val="3"/>
          </w:tcPr>
          <w:p>
            <w:pPr>
              <w:pStyle w:val="TableParagraph"/>
              <w:spacing w:before="112"/>
              <w:ind w:left="1706" w:right="1699"/>
              <w:jc w:val="center"/>
              <w:rPr>
                <w:sz w:val="18"/>
              </w:rPr>
            </w:pPr>
            <w:r>
              <w:rPr>
                <w:sz w:val="18"/>
              </w:rPr>
              <w:t>基本支出</w:t>
            </w:r>
          </w:p>
        </w:tc>
        <w:tc>
          <w:tcPr>
            <w:tcW w:w="2075" w:type="dxa"/>
            <w:vMerge w:val="restart"/>
          </w:tcPr>
          <w:p>
            <w:pPr>
              <w:pStyle w:val="TableParagraph"/>
              <w:spacing w:before="12"/>
              <w:rPr>
                <w:sz w:val="25"/>
              </w:rPr>
            </w:pPr>
          </w:p>
          <w:p>
            <w:pPr>
              <w:pStyle w:val="TableParagraph"/>
              <w:ind w:left="676"/>
              <w:rPr>
                <w:sz w:val="18"/>
              </w:rPr>
            </w:pPr>
            <w:r>
              <w:rPr>
                <w:sz w:val="18"/>
              </w:rPr>
              <w:t>项目支出</w:t>
            </w:r>
          </w:p>
        </w:tc>
      </w:tr>
      <w:tr>
        <w:trPr>
          <w:trHeight w:val="435"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96" w:type="dxa"/>
            <w:vMerge/>
            <w:tcBorders>
              <w:top w:val="nil"/>
            </w:tcBorders>
          </w:tcPr>
          <w:p>
            <w:pPr>
              <w:rPr>
                <w:sz w:val="2"/>
                <w:szCs w:val="2"/>
              </w:rPr>
            </w:pPr>
          </w:p>
        </w:tc>
        <w:tc>
          <w:tcPr>
            <w:tcW w:w="888" w:type="dxa"/>
          </w:tcPr>
          <w:p>
            <w:pPr>
              <w:pStyle w:val="TableParagraph"/>
              <w:spacing w:before="111"/>
              <w:ind w:left="264"/>
              <w:rPr>
                <w:sz w:val="18"/>
              </w:rPr>
            </w:pPr>
            <w:r>
              <w:rPr>
                <w:sz w:val="18"/>
              </w:rPr>
              <w:t>小计</w:t>
            </w:r>
          </w:p>
        </w:tc>
        <w:tc>
          <w:tcPr>
            <w:tcW w:w="1537" w:type="dxa"/>
          </w:tcPr>
          <w:p>
            <w:pPr>
              <w:pStyle w:val="TableParagraph"/>
              <w:spacing w:before="111"/>
              <w:ind w:left="408"/>
              <w:rPr>
                <w:sz w:val="18"/>
              </w:rPr>
            </w:pPr>
            <w:r>
              <w:rPr>
                <w:sz w:val="18"/>
              </w:rPr>
              <w:t>人员经费</w:t>
            </w:r>
          </w:p>
        </w:tc>
        <w:tc>
          <w:tcPr>
            <w:tcW w:w="1750" w:type="dxa"/>
          </w:tcPr>
          <w:p>
            <w:pPr>
              <w:pStyle w:val="TableParagraph"/>
              <w:spacing w:before="111"/>
              <w:ind w:left="515"/>
              <w:rPr>
                <w:sz w:val="18"/>
              </w:rPr>
            </w:pPr>
            <w:r>
              <w:rPr>
                <w:sz w:val="18"/>
              </w:rPr>
              <w:t>公用经费</w:t>
            </w:r>
          </w:p>
        </w:tc>
        <w:tc>
          <w:tcPr>
            <w:tcW w:w="2075" w:type="dxa"/>
            <w:vMerge/>
            <w:tcBorders>
              <w:top w:val="nil"/>
            </w:tcBorders>
          </w:tcPr>
          <w:p>
            <w:pPr>
              <w:rPr>
                <w:sz w:val="2"/>
                <w:szCs w:val="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tabs>
                <w:tab w:pos="1161" w:val="left" w:leader="none"/>
              </w:tabs>
              <w:spacing w:before="89"/>
              <w:ind w:left="261"/>
              <w:rPr>
                <w:b/>
                <w:sz w:val="18"/>
              </w:rPr>
            </w:pPr>
            <w:r>
              <w:rPr>
                <w:b/>
                <w:sz w:val="18"/>
              </w:rPr>
              <w:t>合</w:t>
              <w:tab/>
              <w:t>计</w:t>
            </w: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bl>
    <w:p>
      <w:pPr>
        <w:spacing w:after="0"/>
        <w:rPr>
          <w:rFonts w:ascii="Times New Roman"/>
          <w:sz w:val="22"/>
        </w:rPr>
        <w:sectPr>
          <w:type w:val="continuous"/>
          <w:pgSz w:w="11910" w:h="16840"/>
          <w:pgMar w:top="1580" w:bottom="1180" w:left="200" w:right="80"/>
        </w:sectPr>
      </w:pPr>
    </w:p>
    <w:p>
      <w:pPr>
        <w:pStyle w:val="Heading2"/>
        <w:ind w:left="3409"/>
      </w:pPr>
      <w:r>
        <w:rPr>
          <w:spacing w:val="-2"/>
        </w:rPr>
        <w:t>国有资本经营预算支出表</w:t>
      </w:r>
    </w:p>
    <w:p>
      <w:pPr>
        <w:spacing w:before="49"/>
        <w:ind w:left="1395" w:right="0" w:firstLine="0"/>
        <w:jc w:val="left"/>
        <w:rPr>
          <w:rFonts w:ascii="Times New Roman" w:eastAsia="Times New Roman"/>
          <w:sz w:val="20"/>
        </w:rPr>
      </w:pPr>
      <w:r>
        <w:rPr/>
        <w:br w:type="column"/>
      </w:r>
      <w:r>
        <w:rPr>
          <w:sz w:val="20"/>
        </w:rPr>
        <w:t>批复表 </w:t>
      </w:r>
      <w:r>
        <w:rPr>
          <w:rFonts w:ascii="Times New Roman" w:eastAsia="Times New Roman"/>
          <w:sz w:val="20"/>
        </w:rPr>
        <w:t>7</w:t>
      </w:r>
    </w:p>
    <w:p>
      <w:pPr>
        <w:spacing w:after="0"/>
        <w:jc w:val="left"/>
        <w:rPr>
          <w:rFonts w:ascii="Times New Roman" w:eastAsia="Times New Roman"/>
          <w:sz w:val="20"/>
        </w:rPr>
        <w:sectPr>
          <w:pgSz w:w="11910" w:h="16840"/>
          <w:pgMar w:header="0" w:footer="193" w:top="1440" w:bottom="460" w:left="200" w:right="80"/>
          <w:cols w:num="2" w:equalWidth="0">
            <w:col w:w="8709" w:space="40"/>
            <w:col w:w="2881"/>
          </w:cols>
        </w:sectPr>
      </w:pPr>
    </w:p>
    <w:p>
      <w:pPr>
        <w:tabs>
          <w:tab w:pos="9992" w:val="left" w:leader="none"/>
        </w:tabs>
        <w:spacing w:before="81" w:after="41"/>
        <w:ind w:left="1218" w:right="0" w:firstLine="0"/>
        <w:jc w:val="left"/>
        <w:rPr>
          <w:sz w:val="18"/>
        </w:rPr>
      </w:pPr>
      <w:r>
        <w:rPr>
          <w:sz w:val="18"/>
        </w:rPr>
        <w:t>单位：喀什市消防救援大队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5"/>
        <w:gridCol w:w="1605"/>
        <w:gridCol w:w="984"/>
        <w:gridCol w:w="1537"/>
        <w:gridCol w:w="1338"/>
        <w:gridCol w:w="1462"/>
        <w:gridCol w:w="1925"/>
      </w:tblGrid>
      <w:tr>
        <w:trPr>
          <w:trHeight w:val="480" w:hRule="atLeast"/>
        </w:trPr>
        <w:tc>
          <w:tcPr>
            <w:tcW w:w="855" w:type="dxa"/>
            <w:vMerge w:val="restart"/>
          </w:tcPr>
          <w:p>
            <w:pPr>
              <w:pStyle w:val="TableParagraph"/>
              <w:rPr>
                <w:sz w:val="18"/>
              </w:rPr>
            </w:pPr>
          </w:p>
          <w:p>
            <w:pPr>
              <w:pStyle w:val="TableParagraph"/>
              <w:spacing w:before="5"/>
              <w:rPr>
                <w:sz w:val="25"/>
              </w:rPr>
            </w:pPr>
          </w:p>
          <w:p>
            <w:pPr>
              <w:pStyle w:val="TableParagraph"/>
              <w:ind w:left="65"/>
              <w:rPr>
                <w:sz w:val="18"/>
              </w:rPr>
            </w:pPr>
            <w:r>
              <w:rPr>
                <w:sz w:val="18"/>
              </w:rPr>
              <w:t>科目代码</w:t>
            </w:r>
          </w:p>
        </w:tc>
        <w:tc>
          <w:tcPr>
            <w:tcW w:w="1605" w:type="dxa"/>
            <w:vMerge w:val="restart"/>
          </w:tcPr>
          <w:p>
            <w:pPr>
              <w:pStyle w:val="TableParagraph"/>
              <w:rPr>
                <w:sz w:val="18"/>
              </w:rPr>
            </w:pPr>
          </w:p>
          <w:p>
            <w:pPr>
              <w:pStyle w:val="TableParagraph"/>
              <w:spacing w:before="5"/>
              <w:rPr>
                <w:sz w:val="25"/>
              </w:rPr>
            </w:pPr>
          </w:p>
          <w:p>
            <w:pPr>
              <w:pStyle w:val="TableParagraph"/>
              <w:ind w:left="441"/>
              <w:rPr>
                <w:sz w:val="18"/>
              </w:rPr>
            </w:pPr>
            <w:r>
              <w:rPr>
                <w:sz w:val="18"/>
              </w:rPr>
              <w:t>科目名称</w:t>
            </w:r>
          </w:p>
        </w:tc>
        <w:tc>
          <w:tcPr>
            <w:tcW w:w="7246" w:type="dxa"/>
            <w:gridSpan w:val="5"/>
          </w:tcPr>
          <w:p>
            <w:pPr>
              <w:pStyle w:val="TableParagraph"/>
              <w:spacing w:before="133"/>
              <w:ind w:left="2522" w:right="2514"/>
              <w:jc w:val="center"/>
              <w:rPr>
                <w:sz w:val="18"/>
              </w:rPr>
            </w:pPr>
            <w:r>
              <w:rPr>
                <w:sz w:val="18"/>
              </w:rPr>
              <w:t>本年国有资本经营预算支出</w:t>
            </w:r>
          </w:p>
        </w:tc>
      </w:tr>
      <w:tr>
        <w:trPr>
          <w:trHeight w:val="390"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84" w:type="dxa"/>
            <w:vMerge w:val="restart"/>
          </w:tcPr>
          <w:p>
            <w:pPr>
              <w:pStyle w:val="TableParagraph"/>
              <w:spacing w:before="3"/>
              <w:rPr>
                <w:sz w:val="24"/>
              </w:rPr>
            </w:pPr>
          </w:p>
          <w:p>
            <w:pPr>
              <w:pStyle w:val="TableParagraph"/>
              <w:ind w:left="312"/>
              <w:rPr>
                <w:sz w:val="18"/>
              </w:rPr>
            </w:pPr>
            <w:r>
              <w:rPr>
                <w:sz w:val="18"/>
              </w:rPr>
              <w:t>合计</w:t>
            </w:r>
          </w:p>
        </w:tc>
        <w:tc>
          <w:tcPr>
            <w:tcW w:w="4337" w:type="dxa"/>
            <w:gridSpan w:val="3"/>
          </w:tcPr>
          <w:p>
            <w:pPr>
              <w:pStyle w:val="TableParagraph"/>
              <w:spacing w:before="88"/>
              <w:ind w:left="1787" w:right="1779"/>
              <w:jc w:val="center"/>
              <w:rPr>
                <w:sz w:val="18"/>
              </w:rPr>
            </w:pPr>
            <w:r>
              <w:rPr>
                <w:sz w:val="18"/>
              </w:rPr>
              <w:t>基本支出</w:t>
            </w:r>
          </w:p>
        </w:tc>
        <w:tc>
          <w:tcPr>
            <w:tcW w:w="1925" w:type="dxa"/>
            <w:vMerge w:val="restart"/>
          </w:tcPr>
          <w:p>
            <w:pPr>
              <w:pStyle w:val="TableParagraph"/>
              <w:spacing w:before="3"/>
              <w:rPr>
                <w:sz w:val="24"/>
              </w:rPr>
            </w:pPr>
          </w:p>
          <w:p>
            <w:pPr>
              <w:pStyle w:val="TableParagraph"/>
              <w:ind w:left="600"/>
              <w:rPr>
                <w:sz w:val="18"/>
              </w:rPr>
            </w:pPr>
            <w:r>
              <w:rPr>
                <w:sz w:val="18"/>
              </w:rPr>
              <w:t>项目支出</w:t>
            </w:r>
          </w:p>
        </w:tc>
      </w:tr>
      <w:tr>
        <w:trPr>
          <w:trHeight w:val="435"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84" w:type="dxa"/>
            <w:vMerge/>
            <w:tcBorders>
              <w:top w:val="nil"/>
            </w:tcBorders>
          </w:tcPr>
          <w:p>
            <w:pPr>
              <w:rPr>
                <w:sz w:val="2"/>
                <w:szCs w:val="2"/>
              </w:rPr>
            </w:pPr>
          </w:p>
        </w:tc>
        <w:tc>
          <w:tcPr>
            <w:tcW w:w="1537" w:type="dxa"/>
          </w:tcPr>
          <w:p>
            <w:pPr>
              <w:pStyle w:val="TableParagraph"/>
              <w:spacing w:before="110"/>
              <w:ind w:left="568" w:right="558"/>
              <w:jc w:val="center"/>
              <w:rPr>
                <w:sz w:val="18"/>
              </w:rPr>
            </w:pPr>
            <w:r>
              <w:rPr>
                <w:sz w:val="18"/>
              </w:rPr>
              <w:t>小计</w:t>
            </w:r>
          </w:p>
        </w:tc>
        <w:tc>
          <w:tcPr>
            <w:tcW w:w="1338" w:type="dxa"/>
          </w:tcPr>
          <w:p>
            <w:pPr>
              <w:pStyle w:val="TableParagraph"/>
              <w:spacing w:before="110"/>
              <w:ind w:left="309"/>
              <w:rPr>
                <w:sz w:val="18"/>
              </w:rPr>
            </w:pPr>
            <w:r>
              <w:rPr>
                <w:sz w:val="18"/>
              </w:rPr>
              <w:t>人员经费</w:t>
            </w:r>
          </w:p>
        </w:tc>
        <w:tc>
          <w:tcPr>
            <w:tcW w:w="1462" w:type="dxa"/>
          </w:tcPr>
          <w:p>
            <w:pPr>
              <w:pStyle w:val="TableParagraph"/>
              <w:spacing w:before="110"/>
              <w:ind w:left="370"/>
              <w:rPr>
                <w:sz w:val="18"/>
              </w:rPr>
            </w:pPr>
            <w:r>
              <w:rPr>
                <w:sz w:val="18"/>
              </w:rPr>
              <w:t>公用经费</w:t>
            </w:r>
          </w:p>
        </w:tc>
        <w:tc>
          <w:tcPr>
            <w:tcW w:w="1925" w:type="dxa"/>
            <w:vMerge/>
            <w:tcBorders>
              <w:top w:val="nil"/>
            </w:tcBorders>
          </w:tcPr>
          <w:p>
            <w:pPr>
              <w:rPr>
                <w:sz w:val="2"/>
                <w:szCs w:val="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tabs>
                <w:tab w:pos="1161" w:val="left" w:leader="none"/>
              </w:tabs>
              <w:spacing w:before="127"/>
              <w:ind w:left="261"/>
              <w:rPr>
                <w:b/>
                <w:sz w:val="18"/>
              </w:rPr>
            </w:pPr>
            <w:r>
              <w:rPr>
                <w:b/>
                <w:sz w:val="18"/>
              </w:rPr>
              <w:t>合</w:t>
              <w:tab/>
              <w:t>计</w:t>
            </w: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bl>
    <w:p>
      <w:pPr>
        <w:spacing w:after="0"/>
        <w:rPr>
          <w:rFonts w:ascii="Times New Roman"/>
          <w:sz w:val="22"/>
        </w:rPr>
        <w:sectPr>
          <w:type w:val="continuous"/>
          <w:pgSz w:w="11910" w:h="16840"/>
          <w:pgMar w:top="1580" w:bottom="1180" w:left="200" w:right="80"/>
        </w:sectPr>
      </w:pPr>
    </w:p>
    <w:p>
      <w:pPr>
        <w:pStyle w:val="Heading2"/>
        <w:spacing w:before="20"/>
        <w:ind w:right="1272"/>
        <w:jc w:val="center"/>
      </w:pPr>
      <w:r>
        <w:rPr/>
        <w:t>一般公共预算</w:t>
      </w:r>
      <w:r>
        <w:rPr>
          <w:rFonts w:ascii="Times New Roman" w:hAnsi="Times New Roman" w:eastAsia="Times New Roman"/>
        </w:rPr>
        <w:t>“</w:t>
      </w:r>
      <w:r>
        <w:rPr/>
        <w:t>三公</w:t>
      </w:r>
      <w:r>
        <w:rPr>
          <w:rFonts w:ascii="Times New Roman" w:hAnsi="Times New Roman" w:eastAsia="Times New Roman"/>
        </w:rPr>
        <w:t>”</w:t>
      </w:r>
      <w:r>
        <w:rPr/>
        <w:t>经费支出表</w:t>
      </w:r>
    </w:p>
    <w:p>
      <w:pPr>
        <w:tabs>
          <w:tab w:pos="9453" w:val="left" w:leader="none"/>
        </w:tabs>
        <w:spacing w:before="91"/>
        <w:ind w:left="516" w:right="0" w:firstLine="0"/>
        <w:jc w:val="center"/>
        <w:rPr>
          <w:sz w:val="18"/>
        </w:rPr>
      </w:pPr>
      <w:r>
        <w:rPr>
          <w:sz w:val="18"/>
        </w:rPr>
        <w:t>单位名称：喀什市消防救援大队</w:t>
        <w:tab/>
        <w:t>单位</w:t>
      </w:r>
      <w:r>
        <w:rPr>
          <w:rFonts w:ascii="Times New Roman" w:eastAsia="Times New Roman"/>
          <w:sz w:val="18"/>
        </w:rPr>
        <w:t>:</w:t>
      </w:r>
      <w:r>
        <w:rPr>
          <w:sz w:val="18"/>
        </w:rPr>
        <w:t>万元</w:t>
      </w:r>
    </w:p>
    <w:p>
      <w:pPr>
        <w:pStyle w:val="BodyText"/>
        <w:spacing w:before="8"/>
        <w:rPr>
          <w:sz w:val="5"/>
        </w:r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8"/>
        <w:gridCol w:w="1661"/>
        <w:gridCol w:w="1477"/>
        <w:gridCol w:w="1581"/>
        <w:gridCol w:w="1373"/>
        <w:gridCol w:w="1477"/>
      </w:tblGrid>
      <w:tr>
        <w:trPr>
          <w:trHeight w:val="465" w:hRule="atLeast"/>
        </w:trPr>
        <w:tc>
          <w:tcPr>
            <w:tcW w:w="2168" w:type="dxa"/>
            <w:vMerge w:val="restart"/>
          </w:tcPr>
          <w:p>
            <w:pPr>
              <w:pStyle w:val="TableParagraph"/>
              <w:rPr>
                <w:sz w:val="20"/>
              </w:rPr>
            </w:pPr>
          </w:p>
          <w:p>
            <w:pPr>
              <w:pStyle w:val="TableParagraph"/>
              <w:spacing w:before="2"/>
              <w:rPr>
                <w:sz w:val="14"/>
              </w:rPr>
            </w:pPr>
          </w:p>
          <w:p>
            <w:pPr>
              <w:pStyle w:val="TableParagraph"/>
              <w:spacing w:before="1"/>
              <w:ind w:left="471"/>
              <w:rPr>
                <w:sz w:val="18"/>
              </w:rPr>
            </w:pPr>
            <w:r>
              <w:rPr>
                <w:rFonts w:ascii="Times New Roman" w:eastAsia="Times New Roman"/>
                <w:sz w:val="18"/>
              </w:rPr>
              <w:t>"</w:t>
            </w:r>
            <w:r>
              <w:rPr>
                <w:sz w:val="18"/>
              </w:rPr>
              <w:t>三公</w:t>
            </w:r>
            <w:r>
              <w:rPr>
                <w:rFonts w:ascii="Times New Roman" w:eastAsia="Times New Roman"/>
                <w:sz w:val="18"/>
              </w:rPr>
              <w:t>"</w:t>
            </w:r>
            <w:r>
              <w:rPr>
                <w:sz w:val="18"/>
              </w:rPr>
              <w:t>经费合计</w:t>
            </w:r>
          </w:p>
        </w:tc>
        <w:tc>
          <w:tcPr>
            <w:tcW w:w="1661" w:type="dxa"/>
            <w:vMerge w:val="restart"/>
          </w:tcPr>
          <w:p>
            <w:pPr>
              <w:pStyle w:val="TableParagraph"/>
              <w:rPr>
                <w:sz w:val="20"/>
              </w:rPr>
            </w:pPr>
          </w:p>
          <w:p>
            <w:pPr>
              <w:pStyle w:val="TableParagraph"/>
              <w:spacing w:before="2"/>
              <w:rPr>
                <w:sz w:val="14"/>
              </w:rPr>
            </w:pPr>
          </w:p>
          <w:p>
            <w:pPr>
              <w:pStyle w:val="TableParagraph"/>
              <w:spacing w:before="1"/>
              <w:ind w:left="230"/>
              <w:rPr>
                <w:sz w:val="18"/>
              </w:rPr>
            </w:pPr>
            <w:r>
              <w:rPr>
                <w:sz w:val="18"/>
              </w:rPr>
              <w:t>因公出国</w:t>
            </w:r>
            <w:r>
              <w:rPr>
                <w:rFonts w:ascii="Times New Roman" w:eastAsia="Times New Roman"/>
                <w:sz w:val="18"/>
              </w:rPr>
              <w:t>(</w:t>
            </w:r>
            <w:r>
              <w:rPr>
                <w:sz w:val="18"/>
              </w:rPr>
              <w:t>境</w:t>
            </w:r>
            <w:r>
              <w:rPr>
                <w:rFonts w:ascii="Times New Roman" w:eastAsia="Times New Roman"/>
                <w:sz w:val="18"/>
              </w:rPr>
              <w:t>)</w:t>
            </w:r>
            <w:r>
              <w:rPr>
                <w:sz w:val="18"/>
              </w:rPr>
              <w:t>费</w:t>
            </w:r>
          </w:p>
        </w:tc>
        <w:tc>
          <w:tcPr>
            <w:tcW w:w="4431" w:type="dxa"/>
            <w:gridSpan w:val="3"/>
          </w:tcPr>
          <w:p>
            <w:pPr>
              <w:pStyle w:val="TableParagraph"/>
              <w:spacing w:before="126"/>
              <w:ind w:left="1314"/>
              <w:rPr>
                <w:sz w:val="18"/>
              </w:rPr>
            </w:pPr>
            <w:r>
              <w:rPr>
                <w:sz w:val="18"/>
              </w:rPr>
              <w:t>公务用车购置及运行费</w:t>
            </w:r>
          </w:p>
        </w:tc>
        <w:tc>
          <w:tcPr>
            <w:tcW w:w="1477" w:type="dxa"/>
            <w:vMerge w:val="restart"/>
          </w:tcPr>
          <w:p>
            <w:pPr>
              <w:pStyle w:val="TableParagraph"/>
              <w:rPr>
                <w:sz w:val="18"/>
              </w:rPr>
            </w:pPr>
          </w:p>
          <w:p>
            <w:pPr>
              <w:pStyle w:val="TableParagraph"/>
              <w:spacing w:before="2"/>
              <w:rPr>
                <w:sz w:val="16"/>
              </w:rPr>
            </w:pPr>
          </w:p>
          <w:p>
            <w:pPr>
              <w:pStyle w:val="TableParagraph"/>
              <w:spacing w:before="1"/>
              <w:ind w:left="287"/>
              <w:rPr>
                <w:sz w:val="18"/>
              </w:rPr>
            </w:pPr>
            <w:r>
              <w:rPr>
                <w:sz w:val="18"/>
              </w:rPr>
              <w:t>公务接待费</w:t>
            </w:r>
          </w:p>
        </w:tc>
      </w:tr>
      <w:tr>
        <w:trPr>
          <w:trHeight w:val="615" w:hRule="atLeast"/>
        </w:trPr>
        <w:tc>
          <w:tcPr>
            <w:tcW w:w="2168" w:type="dxa"/>
            <w:vMerge/>
            <w:tcBorders>
              <w:top w:val="nil"/>
            </w:tcBorders>
          </w:tcPr>
          <w:p>
            <w:pPr>
              <w:rPr>
                <w:sz w:val="2"/>
                <w:szCs w:val="2"/>
              </w:rPr>
            </w:pPr>
          </w:p>
        </w:tc>
        <w:tc>
          <w:tcPr>
            <w:tcW w:w="1661" w:type="dxa"/>
            <w:vMerge/>
            <w:tcBorders>
              <w:top w:val="nil"/>
            </w:tcBorders>
          </w:tcPr>
          <w:p>
            <w:pPr>
              <w:rPr>
                <w:sz w:val="2"/>
                <w:szCs w:val="2"/>
              </w:rPr>
            </w:pPr>
          </w:p>
        </w:tc>
        <w:tc>
          <w:tcPr>
            <w:tcW w:w="1477" w:type="dxa"/>
          </w:tcPr>
          <w:p>
            <w:pPr>
              <w:pStyle w:val="TableParagraph"/>
              <w:spacing w:before="9"/>
              <w:rPr>
                <w:sz w:val="15"/>
              </w:rPr>
            </w:pPr>
          </w:p>
          <w:p>
            <w:pPr>
              <w:pStyle w:val="TableParagraph"/>
              <w:ind w:left="536" w:right="530"/>
              <w:jc w:val="center"/>
              <w:rPr>
                <w:sz w:val="18"/>
              </w:rPr>
            </w:pPr>
            <w:r>
              <w:rPr>
                <w:sz w:val="18"/>
              </w:rPr>
              <w:t>小计</w:t>
            </w:r>
          </w:p>
        </w:tc>
        <w:tc>
          <w:tcPr>
            <w:tcW w:w="1581" w:type="dxa"/>
          </w:tcPr>
          <w:p>
            <w:pPr>
              <w:pStyle w:val="TableParagraph"/>
              <w:spacing w:before="9"/>
              <w:rPr>
                <w:sz w:val="15"/>
              </w:rPr>
            </w:pPr>
          </w:p>
          <w:p>
            <w:pPr>
              <w:pStyle w:val="TableParagraph"/>
              <w:ind w:left="159"/>
              <w:rPr>
                <w:sz w:val="18"/>
              </w:rPr>
            </w:pPr>
            <w:r>
              <w:rPr>
                <w:sz w:val="18"/>
              </w:rPr>
              <w:t>公务用车购置费</w:t>
            </w:r>
          </w:p>
        </w:tc>
        <w:tc>
          <w:tcPr>
            <w:tcW w:w="1373" w:type="dxa"/>
          </w:tcPr>
          <w:p>
            <w:pPr>
              <w:pStyle w:val="TableParagraph"/>
              <w:spacing w:before="9"/>
              <w:rPr>
                <w:sz w:val="15"/>
              </w:rPr>
            </w:pPr>
          </w:p>
          <w:p>
            <w:pPr>
              <w:pStyle w:val="TableParagraph"/>
              <w:ind w:left="54"/>
              <w:rPr>
                <w:sz w:val="18"/>
              </w:rPr>
            </w:pPr>
            <w:r>
              <w:rPr>
                <w:sz w:val="18"/>
              </w:rPr>
              <w:t>公务用车运行费</w:t>
            </w:r>
          </w:p>
        </w:tc>
        <w:tc>
          <w:tcPr>
            <w:tcW w:w="1477" w:type="dxa"/>
            <w:vMerge/>
            <w:tcBorders>
              <w:top w:val="nil"/>
            </w:tcBorders>
          </w:tcPr>
          <w:p>
            <w:pPr>
              <w:rPr>
                <w:sz w:val="2"/>
                <w:szCs w:val="2"/>
              </w:rPr>
            </w:pPr>
          </w:p>
        </w:tc>
      </w:tr>
      <w:tr>
        <w:trPr>
          <w:trHeight w:val="465" w:hRule="atLeast"/>
        </w:trPr>
        <w:tc>
          <w:tcPr>
            <w:tcW w:w="2168" w:type="dxa"/>
          </w:tcPr>
          <w:p>
            <w:pPr>
              <w:pStyle w:val="TableParagraph"/>
              <w:rPr>
                <w:rFonts w:ascii="Times New Roman"/>
                <w:sz w:val="22"/>
              </w:rPr>
            </w:pPr>
          </w:p>
        </w:tc>
        <w:tc>
          <w:tcPr>
            <w:tcW w:w="1661" w:type="dxa"/>
          </w:tcPr>
          <w:p>
            <w:pPr>
              <w:pStyle w:val="TableParagraph"/>
              <w:rPr>
                <w:rFonts w:ascii="Times New Roman"/>
                <w:sz w:val="22"/>
              </w:rPr>
            </w:pPr>
          </w:p>
        </w:tc>
        <w:tc>
          <w:tcPr>
            <w:tcW w:w="1477" w:type="dxa"/>
          </w:tcPr>
          <w:p>
            <w:pPr>
              <w:pStyle w:val="TableParagraph"/>
              <w:rPr>
                <w:rFonts w:ascii="Times New Roman"/>
                <w:sz w:val="22"/>
              </w:rPr>
            </w:pPr>
          </w:p>
        </w:tc>
        <w:tc>
          <w:tcPr>
            <w:tcW w:w="1581" w:type="dxa"/>
          </w:tcPr>
          <w:p>
            <w:pPr>
              <w:pStyle w:val="TableParagraph"/>
              <w:rPr>
                <w:rFonts w:ascii="Times New Roman"/>
                <w:sz w:val="22"/>
              </w:rPr>
            </w:pPr>
          </w:p>
        </w:tc>
        <w:tc>
          <w:tcPr>
            <w:tcW w:w="1373" w:type="dxa"/>
          </w:tcPr>
          <w:p>
            <w:pPr>
              <w:pStyle w:val="TableParagraph"/>
              <w:rPr>
                <w:rFonts w:ascii="Times New Roman"/>
                <w:sz w:val="22"/>
              </w:rPr>
            </w:pPr>
          </w:p>
        </w:tc>
        <w:tc>
          <w:tcPr>
            <w:tcW w:w="1477" w:type="dxa"/>
          </w:tcPr>
          <w:p>
            <w:pPr>
              <w:pStyle w:val="TableParagraph"/>
              <w:rPr>
                <w:rFonts w:ascii="Times New Roman"/>
                <w:sz w:val="22"/>
              </w:rPr>
            </w:pPr>
          </w:p>
        </w:tc>
      </w:tr>
    </w:tbl>
    <w:p>
      <w:pPr>
        <w:spacing w:after="0"/>
        <w:rPr>
          <w:rFonts w:ascii="Times New Roman"/>
          <w:sz w:val="22"/>
        </w:rPr>
        <w:sectPr>
          <w:pgSz w:w="11910" w:h="16840"/>
          <w:pgMar w:header="0" w:footer="193" w:top="1400" w:bottom="460" w:left="200" w:right="80"/>
        </w:sectPr>
      </w:pPr>
    </w:p>
    <w:p>
      <w:pPr>
        <w:pStyle w:val="BodyText"/>
        <w:rPr>
          <w:sz w:val="20"/>
        </w:rPr>
      </w:pPr>
      <w:r>
        <w:rPr/>
        <w:pict>
          <v:group style="position:absolute;margin-left:.0pt;margin-top:.700024pt;width:577.85pt;height:841.2pt;mso-position-horizontal-relative:page;mso-position-vertical-relative:page;z-index:-255042560" coordorigin="0,14" coordsize="11557,16824">
            <v:shape style="position:absolute;left:3555;top:14;width:2;height:16824" coordorigin="3555,14" coordsize="0,16824" path="m3555,14l3555,5942m3555,9530l3555,16838e" filled="false" stroked="true" strokeweight="1.099858pt" strokecolor="#cccc00">
              <v:path arrowok="t"/>
              <v:stroke dashstyle="solid"/>
            </v:shape>
            <v:shape style="position:absolute;left:3399;top:14;width:420;height:16824" coordorigin="3399,14" coordsize="420,16824" path="m3819,14l3819,5942m3819,9530l3819,16838m3399,14l3399,5942m3399,9530l3399,16838e" filled="false" stroked="true" strokeweight="1.099858pt" strokecolor="#cccc00">
              <v:path arrowok="t"/>
              <v:stroke dashstyle="solid"/>
            </v:shape>
            <v:shape style="position:absolute;left:3678;top:14;width:2;height:16824" coordorigin="3678,14" coordsize="0,16824" path="m3678,14l3678,5942m3678,9530l3678,16838e" filled="false" stroked="true" strokeweight="1.049929pt" strokecolor="#cccc00">
              <v:path arrowok="t"/>
              <v:stroke dashstyle="solid"/>
            </v:shape>
            <v:rect style="position:absolute;left:0;top:5942;width:11549;height:3588" filled="true" fillcolor="#cc99ff" stroked="false">
              <v:fill type="solid"/>
            </v:rect>
            <v:shape style="position:absolute;left:0;top:5934;width:11557;height:3603" coordorigin="0,5935" coordsize="11557,3603" path="m11542,5950l0,5950,0,5935,11557,5935,11557,5942,11542,5942,11542,5950xm11542,9530l11542,5942,11549,5950,11557,5950,11557,9523,11549,9523,11542,9530xm11557,5950l11549,5950,11542,5942,11557,5942,11557,5950xm11557,9538l0,9538,0,9523,11542,9523,11542,9530,11557,9530,11557,9538xm11557,9530l11542,9530,11549,9523,11557,9523,11557,9530xe" filled="true" fillcolor="#000000" stroked="false">
              <v:path arrowok="t"/>
              <v:fill type="solid"/>
            </v:shape>
            <w10:wrap type="none"/>
          </v:group>
        </w:pict>
      </w:r>
      <w:r>
        <w:rPr/>
        <w:pict>
          <v:shape style="position:absolute;margin-left:327.325012pt;margin-top:.000049pt;width:250.85pt;height:842.3pt;mso-position-horizontal-relative:page;mso-position-vertical-relative:page;z-index:251664384"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94"/>
                  </w:tblGrid>
                  <w:tr>
                    <w:trPr>
                      <w:trHeight w:val="5942"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r>
                    <w:trPr>
                      <w:trHeight w:val="3587" w:hRule="atLeast"/>
                    </w:trPr>
                    <w:tc>
                      <w:tcPr>
                        <w:tcW w:w="4994" w:type="dxa"/>
                        <w:tcBorders>
                          <w:right w:val="single" w:sz="6" w:space="0" w:color="000000"/>
                        </w:tcBorders>
                        <w:shd w:val="clear" w:color="auto" w:fill="CC99FF"/>
                      </w:tcPr>
                      <w:p>
                        <w:pPr>
                          <w:pStyle w:val="TableParagraph"/>
                          <w:rPr>
                            <w:rFonts w:ascii="黑体"/>
                            <w:b/>
                            <w:sz w:val="52"/>
                          </w:rPr>
                        </w:pPr>
                      </w:p>
                      <w:p>
                        <w:pPr>
                          <w:pStyle w:val="TableParagraph"/>
                          <w:spacing w:before="8"/>
                          <w:rPr>
                            <w:rFonts w:ascii="黑体"/>
                            <w:b/>
                            <w:sz w:val="37"/>
                          </w:rPr>
                        </w:pPr>
                      </w:p>
                      <w:p>
                        <w:pPr>
                          <w:pStyle w:val="TableParagraph"/>
                          <w:ind w:left="-221"/>
                          <w:rPr>
                            <w:rFonts w:ascii="黑体" w:eastAsia="黑体" w:hint="eastAsia"/>
                            <w:b/>
                            <w:sz w:val="52"/>
                          </w:rPr>
                        </w:pPr>
                        <w:r>
                          <w:rPr>
                            <w:rFonts w:ascii="黑体" w:eastAsia="黑体" w:hint="eastAsia"/>
                            <w:b/>
                            <w:color w:val="FFFFFF"/>
                            <w:sz w:val="52"/>
                          </w:rPr>
                          <w:t>3</w:t>
                        </w:r>
                        <w:r>
                          <w:rPr>
                            <w:rFonts w:ascii="黑体" w:eastAsia="黑体" w:hint="eastAsia"/>
                            <w:b/>
                            <w:color w:val="FFFFFF"/>
                            <w:spacing w:val="-18"/>
                            <w:sz w:val="52"/>
                          </w:rPr>
                          <w:t> 年部门预算情况说明</w:t>
                        </w:r>
                      </w:p>
                    </w:tc>
                  </w:tr>
                  <w:tr>
                    <w:trPr>
                      <w:trHeight w:val="7307"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16"/>
        </w:rPr>
      </w:pPr>
    </w:p>
    <w:p>
      <w:pPr>
        <w:pStyle w:val="Heading1"/>
        <w:ind w:left="270"/>
      </w:pPr>
      <w:r>
        <w:rPr>
          <w:color w:val="FFFFFF"/>
        </w:rPr>
        <w:t>第三部分</w:t>
      </w:r>
    </w:p>
    <w:p>
      <w:pPr>
        <w:spacing w:before="270"/>
        <w:ind w:left="532" w:right="0" w:firstLine="0"/>
        <w:jc w:val="left"/>
        <w:rPr>
          <w:rFonts w:ascii="黑体" w:eastAsia="黑体" w:hint="eastAsia"/>
          <w:b/>
          <w:sz w:val="52"/>
        </w:rPr>
      </w:pPr>
      <w:r>
        <w:rPr>
          <w:rFonts w:ascii="黑体" w:eastAsia="黑体" w:hint="eastAsia"/>
          <w:b/>
          <w:color w:val="FFFFFF"/>
          <w:sz w:val="52"/>
        </w:rPr>
        <w:t>喀什市消防救援大队 202</w:t>
      </w:r>
    </w:p>
    <w:p>
      <w:pPr>
        <w:spacing w:after="0"/>
        <w:jc w:val="left"/>
        <w:rPr>
          <w:rFonts w:ascii="黑体" w:eastAsia="黑体" w:hint="eastAsia"/>
          <w:sz w:val="52"/>
        </w:rPr>
        <w:sectPr>
          <w:pgSz w:w="11910" w:h="16840"/>
          <w:pgMar w:header="0" w:footer="193" w:top="0" w:bottom="460" w:left="200" w:right="80"/>
        </w:sectPr>
      </w:pPr>
    </w:p>
    <w:p>
      <w:pPr>
        <w:pStyle w:val="BodyText"/>
        <w:spacing w:line="362" w:lineRule="auto" w:before="55"/>
        <w:ind w:left="1218" w:right="1377" w:firstLine="638"/>
        <w:jc w:val="both"/>
      </w:pPr>
      <w:r>
        <w:rPr>
          <w:spacing w:val="-16"/>
        </w:rPr>
        <w:t>一、关于喀什市消防救援大队 </w:t>
      </w:r>
      <w:r>
        <w:rPr>
          <w:rFonts w:ascii="Times New Roman" w:eastAsia="Times New Roman"/>
        </w:rPr>
        <w:t>2023 </w:t>
      </w:r>
      <w:r>
        <w:rPr/>
        <w:t>年财政拨款收支预算情况的总体说明</w:t>
      </w:r>
    </w:p>
    <w:p>
      <w:pPr>
        <w:pStyle w:val="BodyText"/>
        <w:spacing w:line="362" w:lineRule="auto" w:before="3"/>
        <w:ind w:left="1218" w:right="1372" w:firstLine="799"/>
        <w:jc w:val="both"/>
      </w:pPr>
      <w:r>
        <w:rPr>
          <w:spacing w:val="-9"/>
        </w:rPr>
        <w:t>喀什市消防救援大队 </w:t>
      </w:r>
      <w:r>
        <w:rPr>
          <w:rFonts w:ascii="Times New Roman" w:eastAsia="Times New Roman"/>
        </w:rPr>
        <w:t>2023 </w:t>
      </w:r>
      <w:r>
        <w:rPr>
          <w:spacing w:val="-8"/>
        </w:rPr>
        <w:t>年财政拨款收支总预算 </w:t>
      </w:r>
      <w:r>
        <w:rPr>
          <w:rFonts w:ascii="Times New Roman" w:eastAsia="Times New Roman"/>
        </w:rPr>
        <w:t>210.73 </w:t>
      </w:r>
      <w:r>
        <w:rPr/>
        <w:t>万元。收入全部为一般公共预算拨款，包括：一般公共预算拨款本</w:t>
      </w:r>
      <w:r>
        <w:rPr>
          <w:spacing w:val="-18"/>
        </w:rPr>
        <w:t>年收入 </w:t>
      </w:r>
      <w:r>
        <w:rPr>
          <w:rFonts w:ascii="Times New Roman" w:eastAsia="Times New Roman"/>
        </w:rPr>
        <w:t>194 </w:t>
      </w:r>
      <w:r>
        <w:rPr>
          <w:spacing w:val="-5"/>
        </w:rPr>
        <w:t>万元，上年结转 </w:t>
      </w:r>
      <w:r>
        <w:rPr>
          <w:rFonts w:ascii="Times New Roman" w:eastAsia="Times New Roman"/>
        </w:rPr>
        <w:t>16.73 </w:t>
      </w:r>
      <w:r>
        <w:rPr>
          <w:spacing w:val="7"/>
        </w:rPr>
        <w:t>万元，其他收入（</w:t>
      </w:r>
      <w:r>
        <w:rPr>
          <w:spacing w:val="5"/>
        </w:rPr>
        <w:t>地方业务经</w:t>
      </w:r>
      <w:r>
        <w:rPr>
          <w:spacing w:val="6"/>
        </w:rPr>
        <w:t>费收入</w:t>
      </w:r>
      <w:r>
        <w:rPr>
          <w:spacing w:val="2"/>
        </w:rPr>
        <w:t>）</w:t>
      </w:r>
      <w:r>
        <w:rPr>
          <w:rFonts w:ascii="Times New Roman" w:eastAsia="Times New Roman"/>
          <w:spacing w:val="2"/>
        </w:rPr>
        <w:t>0 </w:t>
      </w:r>
      <w:r>
        <w:rPr>
          <w:spacing w:val="-1"/>
        </w:rPr>
        <w:t>万元。支出包括：社会保障和就业支出 </w:t>
      </w:r>
      <w:r>
        <w:rPr>
          <w:rFonts w:ascii="Times New Roman" w:eastAsia="Times New Roman"/>
        </w:rPr>
        <w:t>0 </w:t>
      </w:r>
      <w:r>
        <w:rPr>
          <w:spacing w:val="4"/>
        </w:rPr>
        <w:t>万元，卫生</w:t>
      </w:r>
      <w:r>
        <w:rPr>
          <w:spacing w:val="-15"/>
        </w:rPr>
        <w:t>健康支出 </w:t>
      </w:r>
      <w:r>
        <w:rPr>
          <w:rFonts w:ascii="Times New Roman" w:eastAsia="Times New Roman"/>
        </w:rPr>
        <w:t>0 </w:t>
      </w:r>
      <w:r>
        <w:rPr>
          <w:spacing w:val="-8"/>
        </w:rPr>
        <w:t>万元，住房保障支出 </w:t>
      </w:r>
      <w:r>
        <w:rPr>
          <w:rFonts w:ascii="Times New Roman" w:eastAsia="Times New Roman"/>
        </w:rPr>
        <w:t>0 </w:t>
      </w:r>
      <w:r>
        <w:rPr/>
        <w:t>万元，灾害防治及应急管理支</w:t>
      </w:r>
    </w:p>
    <w:p>
      <w:pPr>
        <w:pStyle w:val="BodyText"/>
        <w:spacing w:before="5"/>
        <w:ind w:left="1218"/>
      </w:pPr>
      <w:r>
        <w:rPr/>
        <w:t>出 </w:t>
      </w:r>
      <w:r>
        <w:rPr>
          <w:rFonts w:ascii="Times New Roman" w:eastAsia="Times New Roman"/>
        </w:rPr>
        <w:t>210.73 </w:t>
      </w:r>
      <w:r>
        <w:rPr/>
        <w:t>万元。</w:t>
      </w:r>
    </w:p>
    <w:p>
      <w:pPr>
        <w:pStyle w:val="BodyText"/>
        <w:rPr>
          <w:sz w:val="20"/>
        </w:rPr>
      </w:pPr>
    </w:p>
    <w:p>
      <w:pPr>
        <w:pStyle w:val="BodyText"/>
        <w:rPr>
          <w:sz w:val="20"/>
        </w:rPr>
      </w:pPr>
    </w:p>
    <w:p>
      <w:pPr>
        <w:pStyle w:val="BodyText"/>
        <w:spacing w:before="10"/>
        <w:rPr>
          <w:sz w:val="10"/>
        </w:rPr>
      </w:pPr>
      <w:r>
        <w:rPr/>
        <w:drawing>
          <wp:anchor distT="0" distB="0" distL="0" distR="0" allowOverlap="1" layoutInCell="1" locked="0" behindDoc="0" simplePos="0" relativeHeight="7">
            <wp:simplePos x="0" y="0"/>
            <wp:positionH relativeFrom="page">
              <wp:posOffset>881062</wp:posOffset>
            </wp:positionH>
            <wp:positionV relativeFrom="paragraph">
              <wp:posOffset>112585</wp:posOffset>
            </wp:positionV>
            <wp:extent cx="4609781" cy="2511552"/>
            <wp:effectExtent l="0" t="0" r="0" b="0"/>
            <wp:wrapTopAndBottom/>
            <wp:docPr id="1" name="image1.jpeg"/>
            <wp:cNvGraphicFramePr>
              <a:graphicFrameLocks noChangeAspect="1"/>
            </wp:cNvGraphicFramePr>
            <a:graphic>
              <a:graphicData uri="http://schemas.openxmlformats.org/drawingml/2006/picture">
                <pic:pic>
                  <pic:nvPicPr>
                    <pic:cNvPr id="2" name="image1.jpeg"/>
                    <pic:cNvPicPr/>
                  </pic:nvPicPr>
                  <pic:blipFill>
                    <a:blip r:embed="rId8" cstate="print"/>
                    <a:stretch>
                      <a:fillRect/>
                    </a:stretch>
                  </pic:blipFill>
                  <pic:spPr>
                    <a:xfrm>
                      <a:off x="0" y="0"/>
                      <a:ext cx="4609781" cy="2511552"/>
                    </a:xfrm>
                    <a:prstGeom prst="rect">
                      <a:avLst/>
                    </a:prstGeom>
                  </pic:spPr>
                </pic:pic>
              </a:graphicData>
            </a:graphic>
          </wp:anchor>
        </w:drawing>
      </w:r>
    </w:p>
    <w:p>
      <w:pPr>
        <w:pStyle w:val="BodyText"/>
        <w:rPr>
          <w:sz w:val="20"/>
        </w:rPr>
      </w:pPr>
    </w:p>
    <w:p>
      <w:pPr>
        <w:pStyle w:val="BodyText"/>
        <w:rPr>
          <w:sz w:val="20"/>
        </w:rPr>
      </w:pPr>
    </w:p>
    <w:p>
      <w:pPr>
        <w:pStyle w:val="BodyText"/>
        <w:spacing w:before="4"/>
        <w:rPr>
          <w:sz w:val="20"/>
        </w:rPr>
      </w:pPr>
    </w:p>
    <w:p>
      <w:pPr>
        <w:pStyle w:val="BodyText"/>
        <w:spacing w:line="362" w:lineRule="auto" w:before="67"/>
        <w:ind w:left="1218" w:right="1370" w:firstLine="638"/>
      </w:pPr>
      <w:r>
        <w:rPr/>
        <w:drawing>
          <wp:anchor distT="0" distB="0" distL="0" distR="0" allowOverlap="1" layoutInCell="1" locked="0" behindDoc="1" simplePos="0" relativeHeight="248276992">
            <wp:simplePos x="0" y="0"/>
            <wp:positionH relativeFrom="page">
              <wp:posOffset>1524000</wp:posOffset>
            </wp:positionH>
            <wp:positionV relativeFrom="paragraph">
              <wp:posOffset>165354</wp:posOffset>
            </wp:positionV>
            <wp:extent cx="254635" cy="1270"/>
            <wp:effectExtent l="0" t="0" r="0" b="0"/>
            <wp:wrapNone/>
            <wp:docPr id="3" name="image2.png"/>
            <wp:cNvGraphicFramePr>
              <a:graphicFrameLocks noChangeAspect="1"/>
            </wp:cNvGraphicFramePr>
            <a:graphic>
              <a:graphicData uri="http://schemas.openxmlformats.org/drawingml/2006/picture">
                <pic:pic>
                  <pic:nvPicPr>
                    <pic:cNvPr id="4" name="image2.png"/>
                    <pic:cNvPicPr/>
                  </pic:nvPicPr>
                  <pic:blipFill>
                    <a:blip r:embed="rId9" cstate="print"/>
                    <a:stretch>
                      <a:fillRect/>
                    </a:stretch>
                  </pic:blipFill>
                  <pic:spPr>
                    <a:xfrm>
                      <a:off x="0" y="0"/>
                      <a:ext cx="254635" cy="1270"/>
                    </a:xfrm>
                    <a:prstGeom prst="rect">
                      <a:avLst/>
                    </a:prstGeom>
                  </pic:spPr>
                </pic:pic>
              </a:graphicData>
            </a:graphic>
          </wp:anchor>
        </w:drawing>
      </w:r>
      <w:r>
        <w:rPr/>
        <w:t>二 、关于喀什市消防救援大队 </w:t>
      </w:r>
      <w:r>
        <w:rPr>
          <w:rFonts w:ascii="Times New Roman" w:eastAsia="Times New Roman"/>
        </w:rPr>
        <w:t>2023 </w:t>
      </w:r>
      <w:r>
        <w:rPr/>
        <w:t>年一般公共预算当年拨款情况说明</w:t>
      </w:r>
    </w:p>
    <w:p>
      <w:pPr>
        <w:pStyle w:val="Heading3"/>
        <w:spacing w:before="50"/>
        <w:ind w:left="1854"/>
      </w:pPr>
      <w:r>
        <w:rPr/>
        <w:t>（一）一般公共预算当年拨款规模变化情况说明。</w:t>
      </w:r>
    </w:p>
    <w:p>
      <w:pPr>
        <w:pStyle w:val="BodyText"/>
        <w:spacing w:before="139"/>
        <w:ind w:left="1698"/>
      </w:pPr>
      <w:r>
        <w:rPr/>
        <w:t>喀什市消防救援大队 </w:t>
      </w:r>
      <w:r>
        <w:rPr>
          <w:rFonts w:ascii="Times New Roman" w:eastAsia="Times New Roman"/>
        </w:rPr>
        <w:t>2023 </w:t>
      </w:r>
      <w:r>
        <w:rPr/>
        <w:t>年一般公共预算当年拨款 </w:t>
      </w:r>
      <w:r>
        <w:rPr>
          <w:rFonts w:ascii="Times New Roman" w:eastAsia="Times New Roman"/>
        </w:rPr>
        <w:t>194 </w:t>
      </w:r>
      <w:r>
        <w:rPr/>
        <w:t>万元，</w:t>
      </w:r>
    </w:p>
    <w:p>
      <w:pPr>
        <w:pStyle w:val="BodyText"/>
        <w:spacing w:before="209"/>
        <w:ind w:left="1218"/>
      </w:pPr>
      <w:r>
        <w:rPr/>
        <w:t>比 </w:t>
      </w:r>
      <w:r>
        <w:rPr>
          <w:rFonts w:ascii="Times New Roman" w:eastAsia="Times New Roman"/>
        </w:rPr>
        <w:t>2022 </w:t>
      </w:r>
      <w:r>
        <w:rPr/>
        <w:t>年增加 </w:t>
      </w:r>
      <w:r>
        <w:rPr>
          <w:rFonts w:ascii="Times New Roman" w:eastAsia="Times New Roman"/>
        </w:rPr>
        <w:t>43.27 </w:t>
      </w:r>
      <w:r>
        <w:rPr/>
        <w:t>万元。根据国家综合性消防救援队伍消防救</w:t>
      </w:r>
    </w:p>
    <w:p>
      <w:pPr>
        <w:spacing w:after="0"/>
        <w:sectPr>
          <w:pgSz w:w="11910" w:h="16840"/>
          <w:pgMar w:header="0" w:footer="193" w:top="1520" w:bottom="460" w:left="200" w:right="80"/>
        </w:sectPr>
      </w:pPr>
    </w:p>
    <w:p>
      <w:pPr>
        <w:pStyle w:val="BodyText"/>
        <w:spacing w:line="362" w:lineRule="auto" w:before="35"/>
        <w:ind w:left="1218" w:right="1374"/>
        <w:jc w:val="both"/>
      </w:pPr>
      <w:r>
        <w:rPr/>
        <w:t>援局关于调整提高伙食补助费标准的通知，为全面提升国家综合性消防救援队伍伙食保障能力，打造与“全灾种、大应急”职能任务相匹配的伙食保障体系，经深入调研论证，多方协调沟通， 财政部制定了《国家综合性消防救援人员伙食补助管理办法》， 新疆消防救援总队办公室关于转发消防救援局《关于调整提高伙食补助费标准的通知》的通知，增加了伙食经费，体现在有关支出科目中，其中灾害防治及应急管理支出增加了 </w:t>
      </w:r>
      <w:r>
        <w:rPr>
          <w:rFonts w:ascii="Times New Roman" w:hAnsi="Times New Roman" w:eastAsia="Times New Roman"/>
        </w:rPr>
        <w:t>43.27 </w:t>
      </w:r>
      <w:r>
        <w:rPr/>
        <w:t>万元，同比 </w:t>
      </w:r>
      <w:r>
        <w:rPr>
          <w:rFonts w:ascii="Times New Roman" w:hAnsi="Times New Roman" w:eastAsia="Times New Roman"/>
        </w:rPr>
        <w:t>2022 </w:t>
      </w:r>
      <w:r>
        <w:rPr/>
        <w:t>年增长 </w:t>
      </w:r>
      <w:r>
        <w:rPr>
          <w:rFonts w:ascii="Times New Roman" w:hAnsi="Times New Roman" w:eastAsia="Times New Roman"/>
        </w:rPr>
        <w:t>28.71%</w:t>
      </w:r>
      <w:r>
        <w:rPr/>
        <w:t>。</w:t>
      </w:r>
    </w:p>
    <w:p>
      <w:pPr>
        <w:pStyle w:val="Heading3"/>
        <w:spacing w:before="59"/>
      </w:pPr>
      <w:r>
        <w:rPr/>
        <w:t>（二）一般公共预算当年拨款结构情况说明。</w:t>
      </w:r>
    </w:p>
    <w:p>
      <w:pPr>
        <w:pStyle w:val="BodyText"/>
        <w:spacing w:line="362" w:lineRule="auto" w:before="136"/>
        <w:ind w:left="1218" w:right="1216" w:firstLine="638"/>
        <w:jc w:val="both"/>
      </w:pPr>
      <w:r>
        <w:rPr/>
        <w:pict>
          <v:group style="position:absolute;margin-left:104.324997pt;margin-top:98.335007pt;width:363.75pt;height:211.75pt;mso-position-horizontal-relative:page;mso-position-vertical-relative:paragraph;z-index:-255038464" coordorigin="2086,1967" coordsize="7275,4235">
            <v:line style="position:absolute" from="3983,5469" to="3983,6201" stroked="true" strokeweight="1.3pt" strokecolor="#739cc3">
              <v:stroke dashstyle="solid"/>
            </v:line>
            <v:shape style="position:absolute;left:2086;top:1966;width:7275;height:3975" type="#_x0000_t75" stroked="false">
              <v:imagedata r:id="rId10" o:title=""/>
            </v:shape>
            <w10:wrap type="none"/>
          </v:group>
        </w:pict>
      </w:r>
      <w:r>
        <w:rPr>
          <w:w w:val="99"/>
        </w:rPr>
        <w:t>社会保障和就业支出</w:t>
      </w:r>
      <w:r>
        <w:rPr>
          <w:spacing w:val="-79"/>
        </w:rPr>
        <w:t> </w:t>
      </w:r>
      <w:r>
        <w:rPr>
          <w:rFonts w:ascii="Times New Roman" w:eastAsia="Times New Roman"/>
          <w:w w:val="99"/>
        </w:rPr>
        <w:t>0</w:t>
      </w:r>
      <w:r>
        <w:rPr>
          <w:rFonts w:ascii="Times New Roman" w:eastAsia="Times New Roman"/>
        </w:rPr>
        <w:t> </w:t>
      </w:r>
      <w:r>
        <w:rPr>
          <w:spacing w:val="-28"/>
          <w:w w:val="99"/>
        </w:rPr>
        <w:t>万元，占比</w:t>
      </w:r>
      <w:r>
        <w:rPr>
          <w:spacing w:val="-79"/>
        </w:rPr>
        <w:t> </w:t>
      </w:r>
      <w:r>
        <w:rPr>
          <w:rFonts w:ascii="Times New Roman" w:eastAsia="Times New Roman"/>
          <w:spacing w:val="1"/>
          <w:w w:val="99"/>
        </w:rPr>
        <w:t>0</w:t>
      </w:r>
      <w:r>
        <w:rPr>
          <w:rFonts w:ascii="Times New Roman" w:eastAsia="Times New Roman"/>
          <w:w w:val="99"/>
        </w:rPr>
        <w:t>%</w:t>
      </w:r>
      <w:r>
        <w:rPr>
          <w:spacing w:val="-20"/>
          <w:w w:val="99"/>
        </w:rPr>
        <w:t>；卫生健康支出</w:t>
      </w:r>
      <w:r>
        <w:rPr>
          <w:spacing w:val="-81"/>
        </w:rPr>
        <w:t> </w:t>
      </w:r>
      <w:r>
        <w:rPr>
          <w:rFonts w:ascii="Times New Roman" w:eastAsia="Times New Roman"/>
          <w:w w:val="99"/>
        </w:rPr>
        <w:t>0</w:t>
      </w:r>
      <w:r>
        <w:rPr>
          <w:rFonts w:ascii="Times New Roman" w:eastAsia="Times New Roman"/>
        </w:rPr>
        <w:t> </w:t>
      </w:r>
      <w:r>
        <w:rPr>
          <w:w w:val="99"/>
        </w:rPr>
        <w:t>万元，</w:t>
      </w:r>
      <w:r>
        <w:rPr>
          <w:spacing w:val="-29"/>
        </w:rPr>
        <w:t>占比 </w:t>
      </w:r>
      <w:r>
        <w:rPr>
          <w:rFonts w:ascii="Times New Roman" w:eastAsia="Times New Roman"/>
          <w:spacing w:val="-19"/>
        </w:rPr>
        <w:t>0%</w:t>
      </w:r>
      <w:r>
        <w:rPr>
          <w:spacing w:val="-10"/>
        </w:rPr>
        <w:t>；灾害防治及应急管理</w:t>
      </w:r>
      <w:r>
        <w:rPr/>
        <w:t>（类</w:t>
      </w:r>
      <w:r>
        <w:rPr>
          <w:spacing w:val="-55"/>
        </w:rPr>
        <w:t>）</w:t>
      </w:r>
      <w:r>
        <w:rPr>
          <w:spacing w:val="-28"/>
        </w:rPr>
        <w:t>支出 </w:t>
      </w:r>
      <w:r>
        <w:rPr>
          <w:rFonts w:ascii="Times New Roman" w:eastAsia="Times New Roman"/>
        </w:rPr>
        <w:t>210.73 </w:t>
      </w:r>
      <w:r>
        <w:rPr>
          <w:spacing w:val="-29"/>
        </w:rPr>
        <w:t>万元，占 </w:t>
      </w:r>
      <w:r>
        <w:rPr>
          <w:rFonts w:ascii="Times New Roman" w:eastAsia="Times New Roman"/>
        </w:rPr>
        <w:t>100%</w:t>
      </w:r>
      <w:r>
        <w:rPr/>
        <w:t>； </w:t>
      </w:r>
      <w:r>
        <w:rPr>
          <w:spacing w:val="-12"/>
        </w:rPr>
        <w:t>住房保障支出 </w:t>
      </w:r>
      <w:r>
        <w:rPr>
          <w:rFonts w:ascii="Times New Roman" w:eastAsia="Times New Roman"/>
        </w:rPr>
        <w:t>0 </w:t>
      </w:r>
      <w:r>
        <w:rPr>
          <w:spacing w:val="-16"/>
        </w:rPr>
        <w:t>万元，占 </w:t>
      </w:r>
      <w:r>
        <w:rPr>
          <w:rFonts w:ascii="Times New Roman" w:eastAsia="Times New Roman"/>
        </w:rPr>
        <w:t>0%</w:t>
      </w:r>
      <w:r>
        <w:rPr/>
        <w:t>。</w:t>
      </w:r>
    </w:p>
    <w:p>
      <w:pPr>
        <w:pStyle w:val="BodyText"/>
        <w:rPr>
          <w:sz w:val="36"/>
        </w:rPr>
      </w:pPr>
    </w:p>
    <w:p>
      <w:pPr>
        <w:pStyle w:val="BodyText"/>
        <w:rPr>
          <w:sz w:val="36"/>
        </w:rPr>
      </w:pPr>
    </w:p>
    <w:p>
      <w:pPr>
        <w:pStyle w:val="BodyText"/>
        <w:rPr>
          <w:sz w:val="36"/>
        </w:rPr>
      </w:pPr>
    </w:p>
    <w:p>
      <w:pPr>
        <w:pStyle w:val="BodyText"/>
        <w:rPr>
          <w:sz w:val="36"/>
        </w:rPr>
      </w:pPr>
    </w:p>
    <w:p>
      <w:pPr>
        <w:pStyle w:val="BodyText"/>
        <w:rPr>
          <w:sz w:val="36"/>
        </w:rPr>
      </w:pPr>
    </w:p>
    <w:p>
      <w:pPr>
        <w:pStyle w:val="BodyText"/>
        <w:rPr>
          <w:sz w:val="36"/>
        </w:rPr>
      </w:pPr>
    </w:p>
    <w:p>
      <w:pPr>
        <w:pStyle w:val="BodyText"/>
        <w:rPr>
          <w:sz w:val="36"/>
        </w:rPr>
      </w:pPr>
    </w:p>
    <w:p>
      <w:pPr>
        <w:pStyle w:val="BodyText"/>
        <w:rPr>
          <w:sz w:val="36"/>
        </w:rPr>
      </w:pPr>
    </w:p>
    <w:p>
      <w:pPr>
        <w:pStyle w:val="Heading3"/>
        <w:spacing w:before="251"/>
      </w:pPr>
      <w:r>
        <w:rPr/>
        <w:t>（三）一般公共预算按照支出功能分类情况说明。</w:t>
      </w:r>
    </w:p>
    <w:p>
      <w:pPr>
        <w:pStyle w:val="BodyText"/>
        <w:spacing w:line="362" w:lineRule="auto" w:before="139"/>
        <w:ind w:left="1218" w:right="1378" w:firstLine="638"/>
        <w:jc w:val="both"/>
        <w:rPr>
          <w:rFonts w:ascii="Times New Roman" w:eastAsia="Times New Roman"/>
        </w:rPr>
      </w:pPr>
      <w:r>
        <w:rPr>
          <w:spacing w:val="6"/>
        </w:rPr>
        <w:t>按照支出功能分类，</w:t>
      </w:r>
      <w:r>
        <w:rPr>
          <w:rFonts w:ascii="Times New Roman" w:eastAsia="Times New Roman"/>
        </w:rPr>
        <w:t>2023 </w:t>
      </w:r>
      <w:r>
        <w:rPr>
          <w:spacing w:val="-10"/>
        </w:rPr>
        <w:t>年预算数比 </w:t>
      </w:r>
      <w:r>
        <w:rPr>
          <w:rFonts w:ascii="Times New Roman" w:eastAsia="Times New Roman"/>
        </w:rPr>
        <w:t>2022 </w:t>
      </w:r>
      <w:r>
        <w:rPr>
          <w:spacing w:val="6"/>
        </w:rPr>
        <w:t>年执行数增加较</w:t>
      </w:r>
      <w:r>
        <w:rPr>
          <w:spacing w:val="-2"/>
        </w:rPr>
        <w:t>为明显的项级支出科目为 </w:t>
      </w:r>
      <w:r>
        <w:rPr>
          <w:rFonts w:ascii="Times New Roman" w:eastAsia="Times New Roman"/>
        </w:rPr>
        <w:t>2240204 </w:t>
      </w:r>
      <w:r>
        <w:rPr/>
        <w:t>消防事务科目支出科目，</w:t>
      </w:r>
      <w:r>
        <w:rPr>
          <w:rFonts w:ascii="Times New Roman" w:eastAsia="Times New Roman"/>
        </w:rPr>
        <w:t>2023</w:t>
      </w:r>
    </w:p>
    <w:p>
      <w:pPr>
        <w:spacing w:after="0" w:line="362" w:lineRule="auto"/>
        <w:jc w:val="both"/>
        <w:rPr>
          <w:rFonts w:ascii="Times New Roman" w:eastAsia="Times New Roman"/>
        </w:rPr>
        <w:sectPr>
          <w:pgSz w:w="11910" w:h="16840"/>
          <w:pgMar w:header="0" w:footer="193" w:top="1540" w:bottom="460" w:left="200" w:right="80"/>
        </w:sectPr>
      </w:pPr>
    </w:p>
    <w:p>
      <w:pPr>
        <w:pStyle w:val="BodyText"/>
        <w:spacing w:line="362" w:lineRule="auto" w:before="35"/>
        <w:ind w:left="1218" w:right="1374"/>
        <w:jc w:val="both"/>
      </w:pPr>
      <w:r>
        <w:rPr/>
        <w:t>年预算数为 </w:t>
      </w:r>
      <w:r>
        <w:rPr>
          <w:rFonts w:ascii="Times New Roman" w:hAnsi="Times New Roman" w:eastAsia="Times New Roman"/>
        </w:rPr>
        <w:t>194 </w:t>
      </w:r>
      <w:r>
        <w:rPr/>
        <w:t>万元，比 </w:t>
      </w:r>
      <w:r>
        <w:rPr>
          <w:rFonts w:ascii="Times New Roman" w:hAnsi="Times New Roman" w:eastAsia="Times New Roman"/>
        </w:rPr>
        <w:t>2022 </w:t>
      </w:r>
      <w:r>
        <w:rPr/>
        <w:t>年执行数增加 </w:t>
      </w:r>
      <w:r>
        <w:rPr>
          <w:rFonts w:ascii="Times New Roman" w:hAnsi="Times New Roman" w:eastAsia="Times New Roman"/>
        </w:rPr>
        <w:t>43.27 </w:t>
      </w:r>
      <w:r>
        <w:rPr/>
        <w:t>万元，增加</w:t>
      </w:r>
      <w:r>
        <w:rPr>
          <w:rFonts w:ascii="Times New Roman" w:hAnsi="Times New Roman" w:eastAsia="Times New Roman"/>
        </w:rPr>
        <w:t>28.71%</w:t>
      </w:r>
      <w:r>
        <w:rPr/>
        <w:t>，主要原因：根据国家综合性消防救援队伍消防救援局关于调整提高伙食补助费标准的通知，为全面提升国家综合性消防救援队伍伙食保障能力，打造与“全灾种、大应急”职能任务相匹配的伙食保障体系，经深入调研论证，多方协调沟通，财政部制定了《国家综合性消防救援人员伙食补助管理办法》，增加了伙食经费。</w:t>
      </w:r>
    </w:p>
    <w:p>
      <w:pPr>
        <w:pStyle w:val="Heading3"/>
        <w:spacing w:line="491" w:lineRule="exact"/>
      </w:pPr>
      <w:r>
        <w:rPr>
          <w:rFonts w:ascii="Times New Roman" w:eastAsia="Times New Roman"/>
        </w:rPr>
        <w:t>1</w:t>
      </w:r>
      <w:r>
        <w:rPr>
          <w:spacing w:val="-7"/>
        </w:rPr>
        <w:t>、灾害防治及应急管理支出</w:t>
      </w:r>
      <w:r>
        <w:rPr/>
        <w:t>（类</w:t>
      </w:r>
      <w:r>
        <w:rPr>
          <w:spacing w:val="-22"/>
        </w:rPr>
        <w:t>）</w:t>
      </w:r>
      <w:r>
        <w:rPr>
          <w:spacing w:val="-6"/>
        </w:rPr>
        <w:t>消防事务</w:t>
      </w:r>
      <w:r>
        <w:rPr/>
        <w:t>（款</w:t>
      </w:r>
      <w:r>
        <w:rPr>
          <w:spacing w:val="-22"/>
        </w:rPr>
        <w:t>）</w:t>
      </w:r>
      <w:r>
        <w:rPr/>
        <w:t>消防应急</w:t>
      </w:r>
    </w:p>
    <w:p>
      <w:pPr>
        <w:pStyle w:val="BodyText"/>
        <w:spacing w:before="31"/>
        <w:ind w:left="1218"/>
        <w:jc w:val="both"/>
        <w:rPr>
          <w:rFonts w:ascii="Times New Roman" w:eastAsia="Times New Roman"/>
        </w:rPr>
      </w:pPr>
      <w:r>
        <w:rPr>
          <w:rFonts w:ascii="Microsoft JhengHei" w:eastAsia="Microsoft JhengHei" w:hint="eastAsia"/>
          <w:b/>
          <w:spacing w:val="-56"/>
        </w:rPr>
        <w:t>救援</w:t>
      </w:r>
      <w:r>
        <w:rPr>
          <w:rFonts w:ascii="Microsoft JhengHei" w:eastAsia="Microsoft JhengHei" w:hint="eastAsia"/>
          <w:b/>
        </w:rPr>
        <w:t>（项</w:t>
      </w:r>
      <w:r>
        <w:rPr>
          <w:rFonts w:ascii="Microsoft JhengHei" w:eastAsia="Microsoft JhengHei" w:hint="eastAsia"/>
          <w:b/>
          <w:spacing w:val="-23"/>
        </w:rPr>
        <w:t>）</w:t>
      </w:r>
      <w:r>
        <w:rPr>
          <w:rFonts w:ascii="Times New Roman" w:eastAsia="Times New Roman"/>
          <w:spacing w:val="-23"/>
        </w:rPr>
        <w:t>2023</w:t>
      </w:r>
      <w:r>
        <w:rPr>
          <w:rFonts w:ascii="Times New Roman" w:eastAsia="Times New Roman"/>
          <w:spacing w:val="-2"/>
        </w:rPr>
        <w:t> </w:t>
      </w:r>
      <w:r>
        <w:rPr>
          <w:spacing w:val="-14"/>
        </w:rPr>
        <w:t>年预算数为 </w:t>
      </w:r>
      <w:r>
        <w:rPr>
          <w:rFonts w:ascii="Times New Roman" w:eastAsia="Times New Roman"/>
        </w:rPr>
        <w:t>194</w:t>
      </w:r>
      <w:r>
        <w:rPr>
          <w:rFonts w:ascii="Times New Roman" w:eastAsia="Times New Roman"/>
          <w:spacing w:val="-4"/>
        </w:rPr>
        <w:t> </w:t>
      </w:r>
      <w:r>
        <w:rPr>
          <w:spacing w:val="-39"/>
        </w:rPr>
        <w:t>万元，比 </w:t>
      </w:r>
      <w:r>
        <w:rPr>
          <w:rFonts w:ascii="Times New Roman" w:eastAsia="Times New Roman"/>
        </w:rPr>
        <w:t>2022</w:t>
      </w:r>
      <w:r>
        <w:rPr>
          <w:rFonts w:ascii="Times New Roman" w:eastAsia="Times New Roman"/>
          <w:spacing w:val="-1"/>
        </w:rPr>
        <w:t> </w:t>
      </w:r>
      <w:r>
        <w:rPr>
          <w:spacing w:val="-12"/>
        </w:rPr>
        <w:t>年执行数增加 </w:t>
      </w:r>
      <w:r>
        <w:rPr>
          <w:rFonts w:ascii="Times New Roman" w:eastAsia="Times New Roman"/>
        </w:rPr>
        <w:t>43.27</w:t>
      </w:r>
    </w:p>
    <w:p>
      <w:pPr>
        <w:pStyle w:val="BodyText"/>
        <w:spacing w:line="364" w:lineRule="auto" w:before="137"/>
        <w:ind w:left="1218" w:right="1377"/>
        <w:rPr>
          <w:rFonts w:ascii="仿宋" w:eastAsia="仿宋" w:hint="eastAsia"/>
        </w:rPr>
      </w:pPr>
      <w:r>
        <w:rPr>
          <w:spacing w:val="-17"/>
        </w:rPr>
        <w:t>万元，上升 </w:t>
      </w:r>
      <w:r>
        <w:rPr>
          <w:rFonts w:ascii="Times New Roman" w:eastAsia="Times New Roman"/>
        </w:rPr>
        <w:t>28.71%</w:t>
      </w:r>
      <w:r>
        <w:rPr>
          <w:spacing w:val="-17"/>
        </w:rPr>
        <w:t>，主要是 </w:t>
      </w:r>
      <w:r>
        <w:rPr>
          <w:rFonts w:ascii="Times New Roman" w:eastAsia="Times New Roman"/>
        </w:rPr>
        <w:t>2022 </w:t>
      </w:r>
      <w:r>
        <w:rPr>
          <w:spacing w:val="-43"/>
        </w:rPr>
        <w:t>年 </w:t>
      </w:r>
      <w:r>
        <w:rPr>
          <w:rFonts w:ascii="Times New Roman" w:eastAsia="Times New Roman"/>
        </w:rPr>
        <w:t>10 </w:t>
      </w:r>
      <w:r>
        <w:rPr>
          <w:spacing w:val="-3"/>
        </w:rPr>
        <w:t>月起，国家消防救援队伍人员伙食费补助项目标准调增</w:t>
      </w:r>
      <w:r>
        <w:rPr>
          <w:rFonts w:ascii="仿宋" w:eastAsia="仿宋" w:hint="eastAsia"/>
          <w:spacing w:val="-3"/>
        </w:rPr>
        <w:t>。</w:t>
      </w:r>
    </w:p>
    <w:p>
      <w:pPr>
        <w:pStyle w:val="BodyText"/>
        <w:spacing w:line="362" w:lineRule="auto"/>
        <w:ind w:left="1218" w:right="1377" w:firstLine="638"/>
      </w:pPr>
      <w:r>
        <w:rPr>
          <w:spacing w:val="-16"/>
        </w:rPr>
        <w:t>三、关于喀什市消防救援大队 </w:t>
      </w:r>
      <w:r>
        <w:rPr>
          <w:rFonts w:ascii="Times New Roman" w:eastAsia="Times New Roman"/>
        </w:rPr>
        <w:t>2023 </w:t>
      </w:r>
      <w:r>
        <w:rPr/>
        <w:t>年一般公共预算基本支出情况说明</w:t>
      </w:r>
    </w:p>
    <w:p>
      <w:pPr>
        <w:pStyle w:val="BodyText"/>
        <w:ind w:left="1856"/>
        <w:rPr>
          <w:rFonts w:ascii="Times New Roman" w:eastAsia="Times New Roman"/>
        </w:rPr>
      </w:pPr>
      <w:r>
        <w:rPr/>
        <w:t>喀什市消防救援大队 </w:t>
      </w:r>
      <w:r>
        <w:rPr>
          <w:rFonts w:ascii="Times New Roman" w:eastAsia="Times New Roman"/>
        </w:rPr>
        <w:t>2023 </w:t>
      </w:r>
      <w:r>
        <w:rPr/>
        <w:t>年一般公共预算基本支出 </w:t>
      </w:r>
      <w:r>
        <w:rPr>
          <w:rFonts w:ascii="Times New Roman" w:eastAsia="Times New Roman"/>
        </w:rPr>
        <w:t>210.73</w:t>
      </w:r>
    </w:p>
    <w:p>
      <w:pPr>
        <w:pStyle w:val="BodyText"/>
        <w:spacing w:line="362" w:lineRule="auto" w:before="206"/>
        <w:ind w:left="1218" w:right="1292"/>
      </w:pPr>
      <w:r>
        <w:rPr/>
        <w:t>万元，其中：日常公用经费 </w:t>
      </w:r>
      <w:r>
        <w:rPr>
          <w:rFonts w:ascii="Times New Roman" w:eastAsia="Times New Roman"/>
        </w:rPr>
        <w:t>210.73 </w:t>
      </w:r>
      <w:r>
        <w:rPr/>
        <w:t>万元，主要包括：其他商品和服务支出。</w:t>
      </w:r>
    </w:p>
    <w:p>
      <w:pPr>
        <w:pStyle w:val="BodyText"/>
        <w:spacing w:before="2"/>
        <w:ind w:left="1856"/>
      </w:pPr>
      <w:r>
        <w:rPr>
          <w:spacing w:val="-14"/>
        </w:rPr>
        <w:t>四、关于喀什市消防救援大队 </w:t>
      </w:r>
      <w:r>
        <w:rPr>
          <w:rFonts w:ascii="Times New Roman" w:hAnsi="Times New Roman" w:eastAsia="Times New Roman"/>
        </w:rPr>
        <w:t>2023</w:t>
      </w:r>
      <w:r>
        <w:rPr>
          <w:rFonts w:ascii="Times New Roman" w:hAnsi="Times New Roman" w:eastAsia="Times New Roman"/>
          <w:spacing w:val="-5"/>
        </w:rPr>
        <w:t> </w:t>
      </w:r>
      <w:r>
        <w:rPr/>
        <w:t>年</w:t>
      </w:r>
      <w:r>
        <w:rPr>
          <w:rFonts w:ascii="Times New Roman" w:hAnsi="Times New Roman" w:eastAsia="Times New Roman"/>
        </w:rPr>
        <w:t>“</w:t>
      </w:r>
      <w:r>
        <w:rPr/>
        <w:t>三公</w:t>
      </w:r>
      <w:r>
        <w:rPr>
          <w:rFonts w:ascii="Times New Roman" w:hAnsi="Times New Roman" w:eastAsia="Times New Roman"/>
        </w:rPr>
        <w:t>”</w:t>
      </w:r>
      <w:r>
        <w:rPr/>
        <w:t>经费预算情况说</w:t>
      </w:r>
    </w:p>
    <w:p>
      <w:pPr>
        <w:pStyle w:val="BodyText"/>
        <w:spacing w:before="2"/>
        <w:rPr>
          <w:sz w:val="11"/>
        </w:rPr>
      </w:pPr>
    </w:p>
    <w:p>
      <w:pPr>
        <w:pStyle w:val="BodyText"/>
        <w:spacing w:before="67"/>
        <w:ind w:left="1218"/>
      </w:pPr>
      <w:r>
        <w:rPr>
          <w:w w:val="99"/>
        </w:rPr>
        <w:t>明</w:t>
      </w:r>
    </w:p>
    <w:p>
      <w:pPr>
        <w:pStyle w:val="BodyText"/>
        <w:spacing w:before="209"/>
        <w:ind w:left="1797" w:right="1320"/>
        <w:jc w:val="center"/>
      </w:pPr>
      <w:r>
        <w:rPr>
          <w:rFonts w:ascii="Times New Roman" w:hAnsi="Times New Roman" w:eastAsia="Times New Roman"/>
        </w:rPr>
        <w:t>2023</w:t>
      </w:r>
      <w:r>
        <w:rPr>
          <w:rFonts w:ascii="Times New Roman" w:hAnsi="Times New Roman" w:eastAsia="Times New Roman"/>
          <w:spacing w:val="-19"/>
        </w:rPr>
        <w:t> </w:t>
      </w:r>
      <w:r>
        <w:rPr>
          <w:spacing w:val="7"/>
        </w:rPr>
        <w:t>年喀什市消防救援大队尚未实行公务用车改革，无</w:t>
      </w:r>
      <w:r>
        <w:rPr>
          <w:rFonts w:ascii="Times New Roman" w:hAnsi="Times New Roman" w:eastAsia="Times New Roman"/>
          <w:spacing w:val="7"/>
        </w:rPr>
        <w:t>“</w:t>
      </w:r>
      <w:r>
        <w:rPr/>
        <w:t>三</w:t>
      </w:r>
    </w:p>
    <w:p>
      <w:pPr>
        <w:pStyle w:val="BodyText"/>
        <w:spacing w:before="6"/>
        <w:rPr>
          <w:sz w:val="11"/>
        </w:rPr>
      </w:pPr>
    </w:p>
    <w:p>
      <w:pPr>
        <w:pStyle w:val="BodyText"/>
        <w:spacing w:before="65"/>
        <w:ind w:left="1218"/>
      </w:pPr>
      <w:r>
        <w:rPr/>
        <w:t>公</w:t>
      </w:r>
      <w:r>
        <w:rPr>
          <w:rFonts w:ascii="Times New Roman" w:hAnsi="Times New Roman" w:eastAsia="Times New Roman"/>
        </w:rPr>
        <w:t>”</w:t>
      </w:r>
      <w:r>
        <w:rPr/>
        <w:t>经费财政拨款经费。</w:t>
      </w:r>
    </w:p>
    <w:p>
      <w:pPr>
        <w:pStyle w:val="BodyText"/>
        <w:spacing w:before="209"/>
        <w:ind w:left="1618" w:right="1374"/>
        <w:jc w:val="center"/>
      </w:pPr>
      <w:r>
        <w:rPr>
          <w:rFonts w:ascii="黑体" w:eastAsia="黑体" w:hint="eastAsia"/>
        </w:rPr>
        <w:t>五、</w:t>
      </w:r>
      <w:r>
        <w:rPr/>
        <w:t>关于喀什市消防救援大队 </w:t>
      </w:r>
      <w:r>
        <w:rPr>
          <w:rFonts w:ascii="Times New Roman" w:eastAsia="Times New Roman"/>
        </w:rPr>
        <w:t>2023 </w:t>
      </w:r>
      <w:r>
        <w:rPr/>
        <w:t>年收支预算情况的总体</w:t>
      </w:r>
    </w:p>
    <w:p>
      <w:pPr>
        <w:pStyle w:val="BodyText"/>
        <w:spacing w:before="1"/>
        <w:rPr>
          <w:sz w:val="11"/>
        </w:rPr>
      </w:pPr>
    </w:p>
    <w:p>
      <w:pPr>
        <w:pStyle w:val="BodyText"/>
        <w:spacing w:before="67"/>
        <w:ind w:left="1218"/>
      </w:pPr>
      <w:r>
        <w:rPr/>
        <w:t>说明</w:t>
      </w:r>
    </w:p>
    <w:p>
      <w:pPr>
        <w:spacing w:after="0"/>
        <w:sectPr>
          <w:footerReference w:type="default" r:id="rId11"/>
          <w:pgSz w:w="11910" w:h="16840"/>
          <w:pgMar w:footer="273" w:header="0" w:top="1540" w:bottom="460" w:left="200" w:right="80"/>
          <w:pgNumType w:start="20"/>
        </w:sectPr>
      </w:pPr>
    </w:p>
    <w:p>
      <w:pPr>
        <w:pStyle w:val="BodyText"/>
        <w:spacing w:line="362" w:lineRule="auto" w:before="35"/>
        <w:ind w:left="1218" w:right="1213" w:firstLine="638"/>
      </w:pPr>
      <w:r>
        <w:rPr>
          <w:spacing w:val="-6"/>
        </w:rPr>
        <w:t>喀什市消防救援大队预算收入包括：一般公共预算拨款收入、</w:t>
      </w:r>
      <w:r>
        <w:rPr>
          <w:spacing w:val="-11"/>
          <w:w w:val="95"/>
        </w:rPr>
        <w:t>事业收入、事业单位经营收入、其他收入、上年结转；支出包括： </w:t>
      </w:r>
      <w:r>
        <w:rPr/>
        <w:t>住房保障支出、灾害防治及应急管理支出。各级地方财政拨款收</w:t>
      </w:r>
      <w:r>
        <w:rPr>
          <w:spacing w:val="2"/>
        </w:rPr>
        <w:t>入在</w:t>
      </w:r>
      <w:r>
        <w:rPr>
          <w:rFonts w:ascii="Times New Roman" w:hAnsi="Times New Roman" w:eastAsia="Times New Roman"/>
          <w:spacing w:val="4"/>
        </w:rPr>
        <w:t>“</w:t>
      </w:r>
      <w:r>
        <w:rPr>
          <w:spacing w:val="5"/>
        </w:rPr>
        <w:t>其他收入</w:t>
      </w:r>
      <w:r>
        <w:rPr>
          <w:rFonts w:ascii="Times New Roman" w:hAnsi="Times New Roman" w:eastAsia="Times New Roman"/>
          <w:spacing w:val="4"/>
        </w:rPr>
        <w:t>”</w:t>
      </w:r>
      <w:r>
        <w:rPr>
          <w:spacing w:val="3"/>
        </w:rPr>
        <w:t>中反映，主要包括消防装备、消防救援站等消防</w:t>
      </w:r>
      <w:r>
        <w:rPr>
          <w:spacing w:val="-1"/>
          <w:w w:val="95"/>
        </w:rPr>
        <w:t>基础设施建设经费和各级消防救援队伍开展消防宣传、火灾防治、 </w:t>
      </w:r>
      <w:r>
        <w:rPr>
          <w:spacing w:val="-12"/>
        </w:rPr>
        <w:t>灭火救援训练演练等业务经费。喀什市消防救援大队 </w:t>
      </w:r>
      <w:r>
        <w:rPr>
          <w:rFonts w:ascii="Times New Roman" w:hAnsi="Times New Roman" w:eastAsia="Times New Roman"/>
        </w:rPr>
        <w:t>2023 </w:t>
      </w:r>
      <w:r>
        <w:rPr/>
        <w:t>年收支</w:t>
      </w:r>
    </w:p>
    <w:p>
      <w:pPr>
        <w:pStyle w:val="BodyText"/>
        <w:spacing w:before="6"/>
        <w:ind w:left="1218"/>
      </w:pPr>
      <w:r>
        <w:rPr/>
        <w:t>总预算 </w:t>
      </w:r>
      <w:r>
        <w:rPr>
          <w:rFonts w:ascii="Times New Roman" w:eastAsia="Times New Roman"/>
        </w:rPr>
        <w:t>210.73 </w:t>
      </w:r>
      <w:r>
        <w:rPr/>
        <w:t>万元。</w:t>
      </w:r>
    </w:p>
    <w:p>
      <w:pPr>
        <w:pStyle w:val="BodyText"/>
        <w:spacing w:before="211"/>
        <w:ind w:left="1856"/>
        <w:jc w:val="both"/>
      </w:pPr>
      <w:r>
        <w:rPr/>
        <w:t>六、关于喀什市消防救援大队 </w:t>
      </w:r>
      <w:r>
        <w:rPr>
          <w:rFonts w:ascii="Times New Roman" w:eastAsia="Times New Roman"/>
        </w:rPr>
        <w:t>2023 </w:t>
      </w:r>
      <w:r>
        <w:rPr/>
        <w:t>年收入预算情况说明</w:t>
      </w:r>
    </w:p>
    <w:p>
      <w:pPr>
        <w:pStyle w:val="BodyText"/>
        <w:spacing w:line="362" w:lineRule="auto" w:before="210"/>
        <w:ind w:left="1218" w:right="1374" w:firstLine="638"/>
        <w:jc w:val="both"/>
      </w:pPr>
      <w:r>
        <w:rPr>
          <w:spacing w:val="-3"/>
        </w:rPr>
        <w:t>喀什市消防救援大队 </w:t>
      </w:r>
      <w:r>
        <w:rPr>
          <w:rFonts w:ascii="Times New Roman" w:eastAsia="Times New Roman"/>
        </w:rPr>
        <w:t>2023 </w:t>
      </w:r>
      <w:r>
        <w:rPr>
          <w:spacing w:val="-9"/>
        </w:rPr>
        <w:t>年收入预算 </w:t>
      </w:r>
      <w:r>
        <w:rPr>
          <w:rFonts w:ascii="Times New Roman" w:eastAsia="Times New Roman"/>
        </w:rPr>
        <w:t>210.73 </w:t>
      </w:r>
      <w:r>
        <w:rPr>
          <w:spacing w:val="5"/>
        </w:rPr>
        <w:t>万元，其中： </w:t>
      </w:r>
      <w:r>
        <w:rPr>
          <w:spacing w:val="-13"/>
        </w:rPr>
        <w:t>上年结转 </w:t>
      </w:r>
      <w:r>
        <w:rPr>
          <w:rFonts w:ascii="Times New Roman" w:eastAsia="Times New Roman"/>
        </w:rPr>
        <w:t>16.73 </w:t>
      </w:r>
      <w:r>
        <w:rPr>
          <w:spacing w:val="-25"/>
        </w:rPr>
        <w:t>万元，占 </w:t>
      </w:r>
      <w:r>
        <w:rPr>
          <w:rFonts w:ascii="Times New Roman" w:eastAsia="Times New Roman"/>
          <w:spacing w:val="-7"/>
        </w:rPr>
        <w:t>7.94%</w:t>
      </w:r>
      <w:r>
        <w:rPr>
          <w:spacing w:val="-6"/>
        </w:rPr>
        <w:t>，主要原因是指标下达晚，未及时</w:t>
      </w:r>
      <w:r>
        <w:rPr>
          <w:spacing w:val="-3"/>
        </w:rPr>
        <w:t>开票做单子审核，导致资金结转；一般公共预算拨款收入 </w:t>
      </w:r>
      <w:r>
        <w:rPr>
          <w:rFonts w:ascii="Times New Roman" w:eastAsia="Times New Roman"/>
        </w:rPr>
        <w:t>194 </w:t>
      </w:r>
      <w:r>
        <w:rPr/>
        <w:t>万</w:t>
      </w:r>
      <w:r>
        <w:rPr>
          <w:spacing w:val="-21"/>
        </w:rPr>
        <w:t>元，占 </w:t>
      </w:r>
      <w:r>
        <w:rPr>
          <w:rFonts w:ascii="Times New Roman" w:eastAsia="Times New Roman"/>
        </w:rPr>
        <w:t>92.06%</w:t>
      </w:r>
      <w:r>
        <w:rPr>
          <w:spacing w:val="-14"/>
        </w:rPr>
        <w:t>；其他收入 </w:t>
      </w:r>
      <w:r>
        <w:rPr>
          <w:rFonts w:ascii="Times New Roman" w:eastAsia="Times New Roman"/>
        </w:rPr>
        <w:t>0 </w:t>
      </w:r>
      <w:r>
        <w:rPr>
          <w:spacing w:val="-16"/>
        </w:rPr>
        <w:t>万元，占 </w:t>
      </w:r>
      <w:r>
        <w:rPr>
          <w:rFonts w:ascii="Times New Roman" w:eastAsia="Times New Roman"/>
        </w:rPr>
        <w:t>0%</w:t>
      </w:r>
      <w:r>
        <w:rPr/>
        <w:t>。</w:t>
      </w:r>
    </w:p>
    <w:p>
      <w:pPr>
        <w:pStyle w:val="BodyText"/>
        <w:spacing w:before="3"/>
        <w:ind w:left="1856"/>
        <w:jc w:val="both"/>
      </w:pPr>
      <w:r>
        <w:rPr>
          <w:spacing w:val="-7"/>
        </w:rPr>
        <w:t>七、关于喀什市消防救援大队 </w:t>
      </w:r>
      <w:r>
        <w:rPr>
          <w:rFonts w:ascii="Times New Roman" w:eastAsia="Times New Roman"/>
        </w:rPr>
        <w:t>2023</w:t>
      </w:r>
      <w:r>
        <w:rPr>
          <w:rFonts w:ascii="Times New Roman" w:eastAsia="Times New Roman"/>
          <w:spacing w:val="-4"/>
        </w:rPr>
        <w:t> </w:t>
      </w:r>
      <w:r>
        <w:rPr/>
        <w:t>年支出预算情况说明</w:t>
      </w:r>
    </w:p>
    <w:p>
      <w:pPr>
        <w:pStyle w:val="BodyText"/>
        <w:spacing w:line="362" w:lineRule="auto" w:before="211"/>
        <w:ind w:left="1218" w:right="1374" w:firstLine="638"/>
        <w:jc w:val="both"/>
      </w:pPr>
      <w:r>
        <w:rPr>
          <w:spacing w:val="-3"/>
        </w:rPr>
        <w:t>喀什市消防救援大队 </w:t>
      </w:r>
      <w:r>
        <w:rPr>
          <w:rFonts w:ascii="Times New Roman" w:eastAsia="Times New Roman"/>
        </w:rPr>
        <w:t>2023</w:t>
      </w:r>
      <w:r>
        <w:rPr>
          <w:rFonts w:ascii="Times New Roman" w:eastAsia="Times New Roman"/>
          <w:spacing w:val="1"/>
        </w:rPr>
        <w:t> </w:t>
      </w:r>
      <w:r>
        <w:rPr>
          <w:spacing w:val="-9"/>
        </w:rPr>
        <w:t>年支出预算 </w:t>
      </w:r>
      <w:r>
        <w:rPr>
          <w:rFonts w:ascii="Times New Roman" w:eastAsia="Times New Roman"/>
        </w:rPr>
        <w:t>210.73</w:t>
      </w:r>
      <w:r>
        <w:rPr>
          <w:rFonts w:ascii="Times New Roman" w:eastAsia="Times New Roman"/>
          <w:spacing w:val="4"/>
        </w:rPr>
        <w:t> </w:t>
      </w:r>
      <w:r>
        <w:rPr>
          <w:spacing w:val="5"/>
        </w:rPr>
        <w:t>万元，其中： </w:t>
      </w:r>
      <w:r>
        <w:rPr>
          <w:spacing w:val="-13"/>
        </w:rPr>
        <w:t>基本支出 </w:t>
      </w:r>
      <w:r>
        <w:rPr>
          <w:rFonts w:ascii="Times New Roman" w:eastAsia="Times New Roman"/>
        </w:rPr>
        <w:t>0</w:t>
      </w:r>
      <w:r>
        <w:rPr>
          <w:rFonts w:ascii="Times New Roman" w:eastAsia="Times New Roman"/>
          <w:spacing w:val="-1"/>
        </w:rPr>
        <w:t> </w:t>
      </w:r>
      <w:r>
        <w:rPr>
          <w:spacing w:val="-16"/>
        </w:rPr>
        <w:t>万元，占 </w:t>
      </w:r>
      <w:r>
        <w:rPr>
          <w:rFonts w:ascii="Times New Roman" w:eastAsia="Times New Roman"/>
        </w:rPr>
        <w:t>0%</w:t>
      </w:r>
      <w:r>
        <w:rPr>
          <w:spacing w:val="-14"/>
        </w:rPr>
        <w:t>；项目支出 </w:t>
      </w:r>
      <w:r>
        <w:rPr>
          <w:rFonts w:ascii="Times New Roman" w:eastAsia="Times New Roman"/>
        </w:rPr>
        <w:t>210.73</w:t>
      </w:r>
      <w:r>
        <w:rPr>
          <w:rFonts w:ascii="Times New Roman" w:eastAsia="Times New Roman"/>
          <w:spacing w:val="-1"/>
        </w:rPr>
        <w:t> </w:t>
      </w:r>
      <w:r>
        <w:rPr>
          <w:spacing w:val="-17"/>
        </w:rPr>
        <w:t>万元，占 </w:t>
      </w:r>
      <w:r>
        <w:rPr>
          <w:rFonts w:ascii="Times New Roman" w:eastAsia="Times New Roman"/>
        </w:rPr>
        <w:t>100%</w:t>
      </w:r>
      <w:r>
        <w:rPr/>
        <w:t>。</w:t>
      </w:r>
    </w:p>
    <w:p>
      <w:pPr>
        <w:pStyle w:val="BodyText"/>
        <w:ind w:left="1856"/>
        <w:jc w:val="both"/>
      </w:pPr>
      <w:r>
        <w:rPr/>
        <w:t>八、喀什市消防救援大队 </w:t>
      </w:r>
      <w:r>
        <w:rPr>
          <w:rFonts w:ascii="Times New Roman" w:eastAsia="Times New Roman"/>
        </w:rPr>
        <w:t>2023 </w:t>
      </w:r>
      <w:r>
        <w:rPr/>
        <w:t>年政府性基金预算支出情况的</w:t>
      </w:r>
    </w:p>
    <w:p>
      <w:pPr>
        <w:pStyle w:val="BodyText"/>
        <w:spacing w:before="2"/>
        <w:rPr>
          <w:sz w:val="11"/>
        </w:rPr>
      </w:pPr>
    </w:p>
    <w:p>
      <w:pPr>
        <w:pStyle w:val="BodyText"/>
        <w:spacing w:before="67"/>
        <w:ind w:left="1218"/>
      </w:pPr>
      <w:r>
        <w:rPr/>
        <w:t>说明</w:t>
      </w:r>
    </w:p>
    <w:p>
      <w:pPr>
        <w:pStyle w:val="BodyText"/>
        <w:spacing w:before="211"/>
        <w:ind w:left="1797" w:right="1320"/>
        <w:jc w:val="center"/>
      </w:pPr>
      <w:r>
        <w:rPr/>
        <w:t>喀什市消防救援大队 </w:t>
      </w:r>
      <w:r>
        <w:rPr>
          <w:rFonts w:ascii="Times New Roman" w:eastAsia="Times New Roman"/>
        </w:rPr>
        <w:t>2023 </w:t>
      </w:r>
      <w:r>
        <w:rPr/>
        <w:t>年没有使用政府性基金预算拨款</w:t>
      </w:r>
    </w:p>
    <w:p>
      <w:pPr>
        <w:pStyle w:val="BodyText"/>
        <w:spacing w:before="7"/>
        <w:rPr>
          <w:sz w:val="11"/>
        </w:rPr>
      </w:pPr>
    </w:p>
    <w:p>
      <w:pPr>
        <w:pStyle w:val="BodyText"/>
        <w:spacing w:before="61"/>
        <w:ind w:left="1218"/>
      </w:pPr>
      <w:r>
        <w:rPr/>
        <w:t>安排支出。</w:t>
      </w:r>
    </w:p>
    <w:p>
      <w:pPr>
        <w:pStyle w:val="BodyText"/>
        <w:spacing w:line="362" w:lineRule="auto" w:before="212"/>
        <w:ind w:left="1218" w:right="1377" w:firstLine="638"/>
      </w:pPr>
      <w:r>
        <w:rPr>
          <w:spacing w:val="-16"/>
        </w:rPr>
        <w:t>九、关于喀什市消防救援大队 </w:t>
      </w:r>
      <w:r>
        <w:rPr>
          <w:rFonts w:ascii="Times New Roman" w:eastAsia="Times New Roman"/>
        </w:rPr>
        <w:t>2023 </w:t>
      </w:r>
      <w:r>
        <w:rPr/>
        <w:t>年国有资本经营预算情况的说明</w:t>
      </w:r>
    </w:p>
    <w:p>
      <w:pPr>
        <w:pStyle w:val="BodyText"/>
        <w:ind w:left="1856"/>
      </w:pPr>
      <w:r>
        <w:rPr/>
        <w:t>喀什市消防救援大队 </w:t>
      </w:r>
      <w:r>
        <w:rPr>
          <w:rFonts w:ascii="Times New Roman" w:eastAsia="Times New Roman"/>
        </w:rPr>
        <w:t>2023 </w:t>
      </w:r>
      <w:r>
        <w:rPr/>
        <w:t>年没有使用国有资本经营预算拨</w:t>
      </w:r>
    </w:p>
    <w:p>
      <w:pPr>
        <w:spacing w:after="0"/>
        <w:sectPr>
          <w:pgSz w:w="11910" w:h="16840"/>
          <w:pgMar w:header="0" w:footer="273" w:top="1540" w:bottom="460" w:left="200" w:right="80"/>
        </w:sectPr>
      </w:pPr>
    </w:p>
    <w:p>
      <w:pPr>
        <w:pStyle w:val="BodyText"/>
        <w:spacing w:before="35"/>
        <w:ind w:left="1218"/>
      </w:pPr>
      <w:r>
        <w:rPr/>
        <w:t>款安排支出。</w:t>
      </w:r>
    </w:p>
    <w:p>
      <w:pPr>
        <w:pStyle w:val="BodyText"/>
        <w:spacing w:before="210"/>
        <w:ind w:left="1856"/>
      </w:pPr>
      <w:r>
        <w:rPr/>
        <w:t>十、其他重要事项的情况说明</w:t>
      </w:r>
    </w:p>
    <w:p>
      <w:pPr>
        <w:pStyle w:val="Heading3"/>
        <w:spacing w:before="106"/>
      </w:pPr>
      <w:r>
        <w:rPr/>
        <w:t>（一）政府采购情况。</w:t>
      </w:r>
    </w:p>
    <w:p>
      <w:pPr>
        <w:pStyle w:val="BodyText"/>
        <w:spacing w:before="136"/>
        <w:ind w:left="1856"/>
      </w:pPr>
      <w:r>
        <w:rPr>
          <w:rFonts w:ascii="Times New Roman" w:eastAsia="Times New Roman"/>
        </w:rPr>
        <w:t>2023</w:t>
      </w:r>
      <w:r>
        <w:rPr>
          <w:rFonts w:ascii="Times New Roman" w:eastAsia="Times New Roman"/>
          <w:spacing w:val="-5"/>
        </w:rPr>
        <w:t> </w:t>
      </w:r>
      <w:r>
        <w:rPr>
          <w:spacing w:val="-9"/>
        </w:rPr>
        <w:t>年政府采购预算总额 </w:t>
      </w:r>
      <w:r>
        <w:rPr>
          <w:rFonts w:ascii="Times New Roman" w:eastAsia="Times New Roman"/>
        </w:rPr>
        <w:t>210.73</w:t>
      </w:r>
      <w:r>
        <w:rPr>
          <w:rFonts w:ascii="Times New Roman" w:eastAsia="Times New Roman"/>
          <w:spacing w:val="-4"/>
        </w:rPr>
        <w:t> </w:t>
      </w:r>
      <w:r>
        <w:rPr>
          <w:spacing w:val="-10"/>
        </w:rPr>
        <w:t>万元，其中：政府采购货物</w:t>
      </w:r>
    </w:p>
    <w:p>
      <w:pPr>
        <w:pStyle w:val="BodyText"/>
        <w:spacing w:before="212"/>
        <w:ind w:left="1218"/>
        <w:rPr>
          <w:rFonts w:ascii="Times New Roman" w:eastAsia="Times New Roman"/>
        </w:rPr>
      </w:pPr>
      <w:r>
        <w:rPr>
          <w:spacing w:val="-28"/>
        </w:rPr>
        <w:t>预算 </w:t>
      </w:r>
      <w:r>
        <w:rPr>
          <w:rFonts w:ascii="Times New Roman" w:eastAsia="Times New Roman"/>
        </w:rPr>
        <w:t>0</w:t>
      </w:r>
      <w:r>
        <w:rPr>
          <w:rFonts w:ascii="Times New Roman" w:eastAsia="Times New Roman"/>
          <w:spacing w:val="-4"/>
        </w:rPr>
        <w:t> </w:t>
      </w:r>
      <w:r>
        <w:rPr>
          <w:spacing w:val="-19"/>
        </w:rPr>
        <w:t>万元、政府采购工程预算 </w:t>
      </w:r>
      <w:r>
        <w:rPr>
          <w:rFonts w:ascii="Times New Roman" w:eastAsia="Times New Roman"/>
        </w:rPr>
        <w:t>0</w:t>
      </w:r>
      <w:r>
        <w:rPr>
          <w:rFonts w:ascii="Times New Roman" w:eastAsia="Times New Roman"/>
          <w:spacing w:val="-4"/>
        </w:rPr>
        <w:t> </w:t>
      </w:r>
      <w:r>
        <w:rPr>
          <w:spacing w:val="-20"/>
        </w:rPr>
        <w:t>万元、政府采购服务预算 </w:t>
      </w:r>
      <w:r>
        <w:rPr>
          <w:rFonts w:ascii="Times New Roman" w:eastAsia="Times New Roman"/>
        </w:rPr>
        <w:t>210.73</w:t>
      </w:r>
    </w:p>
    <w:p>
      <w:pPr>
        <w:pStyle w:val="BodyText"/>
        <w:spacing w:before="209"/>
        <w:ind w:left="1218"/>
      </w:pPr>
      <w:r>
        <w:rPr/>
        <w:t>万元。</w:t>
      </w:r>
    </w:p>
    <w:p>
      <w:pPr>
        <w:pStyle w:val="Heading3"/>
        <w:spacing w:before="103"/>
      </w:pPr>
      <w:r>
        <w:rPr/>
        <w:t>（二）国有资产占有使用情况。</w:t>
      </w:r>
    </w:p>
    <w:p>
      <w:pPr>
        <w:pStyle w:val="BodyText"/>
        <w:spacing w:before="139"/>
        <w:ind w:left="1856"/>
      </w:pPr>
      <w:r>
        <w:rPr>
          <w:spacing w:val="-28"/>
        </w:rPr>
        <w:t>截至 </w:t>
      </w:r>
      <w:r>
        <w:rPr>
          <w:rFonts w:ascii="Times New Roman" w:eastAsia="Times New Roman"/>
        </w:rPr>
        <w:t>2023</w:t>
      </w:r>
      <w:r>
        <w:rPr>
          <w:rFonts w:ascii="Times New Roman" w:eastAsia="Times New Roman"/>
          <w:spacing w:val="-2"/>
        </w:rPr>
        <w:t> </w:t>
      </w:r>
      <w:r>
        <w:rPr>
          <w:spacing w:val="-41"/>
        </w:rPr>
        <w:t>年 </w:t>
      </w:r>
      <w:r>
        <w:rPr>
          <w:rFonts w:ascii="Times New Roman" w:eastAsia="Times New Roman"/>
        </w:rPr>
        <w:t>7</w:t>
      </w:r>
      <w:r>
        <w:rPr>
          <w:rFonts w:ascii="Times New Roman" w:eastAsia="Times New Roman"/>
          <w:spacing w:val="-2"/>
        </w:rPr>
        <w:t> </w:t>
      </w:r>
      <w:r>
        <w:rPr>
          <w:spacing w:val="-41"/>
        </w:rPr>
        <w:t>月 </w:t>
      </w:r>
      <w:r>
        <w:rPr>
          <w:rFonts w:ascii="Times New Roman" w:eastAsia="Times New Roman"/>
        </w:rPr>
        <w:t>10</w:t>
      </w:r>
      <w:r>
        <w:rPr>
          <w:rFonts w:ascii="Times New Roman" w:eastAsia="Times New Roman"/>
          <w:spacing w:val="-4"/>
        </w:rPr>
        <w:t> </w:t>
      </w:r>
      <w:r>
        <w:rPr>
          <w:spacing w:val="-17"/>
        </w:rPr>
        <w:t>日，共有车辆 </w:t>
      </w:r>
      <w:r>
        <w:rPr>
          <w:rFonts w:ascii="Times New Roman" w:eastAsia="Times New Roman"/>
        </w:rPr>
        <w:t>37</w:t>
      </w:r>
      <w:r>
        <w:rPr>
          <w:rFonts w:ascii="Times New Roman" w:eastAsia="Times New Roman"/>
          <w:spacing w:val="-2"/>
        </w:rPr>
        <w:t> </w:t>
      </w:r>
      <w:r>
        <w:rPr>
          <w:spacing w:val="-8"/>
        </w:rPr>
        <w:t>辆，其中，应急保障用</w:t>
      </w:r>
    </w:p>
    <w:p>
      <w:pPr>
        <w:pStyle w:val="BodyText"/>
        <w:spacing w:before="209"/>
        <w:ind w:left="1218"/>
      </w:pPr>
      <w:r>
        <w:rPr>
          <w:spacing w:val="-42"/>
        </w:rPr>
        <w:t>车 </w:t>
      </w:r>
      <w:r>
        <w:rPr>
          <w:rFonts w:ascii="Times New Roman" w:eastAsia="Times New Roman"/>
        </w:rPr>
        <w:t>3</w:t>
      </w:r>
      <w:r>
        <w:rPr>
          <w:rFonts w:ascii="Times New Roman" w:eastAsia="Times New Roman"/>
          <w:spacing w:val="-2"/>
        </w:rPr>
        <w:t> </w:t>
      </w:r>
      <w:r>
        <w:rPr>
          <w:spacing w:val="-15"/>
        </w:rPr>
        <w:t>辆、执法执勤用车 </w:t>
      </w:r>
      <w:r>
        <w:rPr>
          <w:rFonts w:ascii="Times New Roman" w:eastAsia="Times New Roman"/>
        </w:rPr>
        <w:t>34</w:t>
      </w:r>
      <w:r>
        <w:rPr>
          <w:rFonts w:ascii="Times New Roman" w:eastAsia="Times New Roman"/>
          <w:spacing w:val="-2"/>
        </w:rPr>
        <w:t> </w:t>
      </w:r>
      <w:r>
        <w:rPr>
          <w:spacing w:val="-13"/>
        </w:rPr>
        <w:t>辆、特种专业技术用车 </w:t>
      </w:r>
      <w:r>
        <w:rPr>
          <w:rFonts w:ascii="Times New Roman" w:eastAsia="Times New Roman"/>
        </w:rPr>
        <w:t>0</w:t>
      </w:r>
      <w:r>
        <w:rPr>
          <w:rFonts w:ascii="Times New Roman" w:eastAsia="Times New Roman"/>
          <w:spacing w:val="-2"/>
        </w:rPr>
        <w:t> </w:t>
      </w:r>
      <w:r>
        <w:rPr>
          <w:spacing w:val="-7"/>
        </w:rPr>
        <w:t>辆、机要通信</w:t>
      </w:r>
    </w:p>
    <w:p>
      <w:pPr>
        <w:pStyle w:val="BodyText"/>
        <w:spacing w:before="210"/>
        <w:ind w:left="1218"/>
      </w:pPr>
      <w:r>
        <w:rPr>
          <w:spacing w:val="-40"/>
        </w:rPr>
        <w:t>车 </w:t>
      </w:r>
      <w:r>
        <w:rPr>
          <w:rFonts w:ascii="Times New Roman" w:eastAsia="Times New Roman"/>
        </w:rPr>
        <w:t>0</w:t>
      </w:r>
      <w:r>
        <w:rPr>
          <w:rFonts w:ascii="Times New Roman" w:eastAsia="Times New Roman"/>
          <w:spacing w:val="5"/>
        </w:rPr>
        <w:t> </w:t>
      </w:r>
      <w:r>
        <w:rPr>
          <w:spacing w:val="-11"/>
        </w:rPr>
        <w:t>辆、其他用车 </w:t>
      </w:r>
      <w:r>
        <w:rPr>
          <w:rFonts w:ascii="Times New Roman" w:eastAsia="Times New Roman"/>
        </w:rPr>
        <w:t>0</w:t>
      </w:r>
      <w:r>
        <w:rPr>
          <w:rFonts w:ascii="Times New Roman" w:eastAsia="Times New Roman"/>
          <w:spacing w:val="1"/>
        </w:rPr>
        <w:t> </w:t>
      </w:r>
      <w:r>
        <w:rPr/>
        <w:t>辆，其他用车主要是消防救援业务用车；单</w:t>
      </w:r>
    </w:p>
    <w:p>
      <w:pPr>
        <w:pStyle w:val="BodyText"/>
        <w:spacing w:before="211"/>
        <w:ind w:left="1218"/>
        <w:rPr>
          <w:rFonts w:ascii="Times New Roman" w:eastAsia="Times New Roman"/>
        </w:rPr>
      </w:pPr>
      <w:r>
        <w:rPr>
          <w:spacing w:val="-21"/>
        </w:rPr>
        <w:t>位价值 </w:t>
      </w:r>
      <w:r>
        <w:rPr>
          <w:rFonts w:ascii="Times New Roman" w:eastAsia="Times New Roman"/>
        </w:rPr>
        <w:t>50</w:t>
      </w:r>
      <w:r>
        <w:rPr>
          <w:rFonts w:ascii="Times New Roman" w:eastAsia="Times New Roman"/>
          <w:spacing w:val="-3"/>
        </w:rPr>
        <w:t> </w:t>
      </w:r>
      <w:r>
        <w:rPr>
          <w:spacing w:val="-10"/>
        </w:rPr>
        <w:t>万元以上通用设备 </w:t>
      </w:r>
      <w:r>
        <w:rPr>
          <w:rFonts w:ascii="Times New Roman" w:eastAsia="Times New Roman"/>
        </w:rPr>
        <w:t>16</w:t>
      </w:r>
      <w:r>
        <w:rPr>
          <w:rFonts w:ascii="Times New Roman" w:eastAsia="Times New Roman"/>
          <w:spacing w:val="-3"/>
        </w:rPr>
        <w:t> </w:t>
      </w:r>
      <w:r>
        <w:rPr>
          <w:spacing w:val="-55"/>
        </w:rPr>
        <w:t>台</w:t>
      </w:r>
      <w:r>
        <w:rPr/>
        <w:t>（套</w:t>
      </w:r>
      <w:r>
        <w:rPr>
          <w:spacing w:val="-55"/>
        </w:rPr>
        <w:t>）</w:t>
      </w:r>
      <w:r>
        <w:rPr>
          <w:spacing w:val="-16"/>
        </w:rPr>
        <w:t>为消防车；单位价值 </w:t>
      </w:r>
      <w:r>
        <w:rPr>
          <w:rFonts w:ascii="Times New Roman" w:eastAsia="Times New Roman"/>
        </w:rPr>
        <w:t>100</w:t>
      </w:r>
    </w:p>
    <w:p>
      <w:pPr>
        <w:pStyle w:val="BodyText"/>
        <w:spacing w:before="209"/>
        <w:ind w:left="1218"/>
      </w:pPr>
      <w:r>
        <w:rPr/>
        <w:t>万元以上专用设备 </w:t>
      </w:r>
      <w:r>
        <w:rPr>
          <w:rFonts w:ascii="Times New Roman" w:eastAsia="Times New Roman"/>
        </w:rPr>
        <w:t>0 </w:t>
      </w:r>
      <w:r>
        <w:rPr/>
        <w:t>台（套）。</w:t>
      </w:r>
    </w:p>
    <w:p>
      <w:pPr>
        <w:pStyle w:val="Heading3"/>
        <w:spacing w:before="104"/>
      </w:pPr>
      <w:r>
        <w:rPr/>
        <w:t>（三）大队运行经费。</w:t>
      </w:r>
    </w:p>
    <w:p>
      <w:pPr>
        <w:pStyle w:val="BodyText"/>
        <w:spacing w:line="362" w:lineRule="auto" w:before="139"/>
        <w:ind w:left="1218" w:right="1335" w:firstLine="638"/>
      </w:pPr>
      <w:r>
        <w:rPr>
          <w:rFonts w:ascii="Times New Roman" w:eastAsia="Times New Roman"/>
        </w:rPr>
        <w:t>2023 </w:t>
      </w:r>
      <w:r>
        <w:rPr/>
        <w:t>年大队运行经费财政拨款预算 </w:t>
      </w:r>
      <w:r>
        <w:rPr>
          <w:rFonts w:ascii="Times New Roman" w:eastAsia="Times New Roman"/>
        </w:rPr>
        <w:t>194 </w:t>
      </w:r>
      <w:r>
        <w:rPr/>
        <w:t>万元，比 </w:t>
      </w:r>
      <w:r>
        <w:rPr>
          <w:rFonts w:ascii="Times New Roman" w:eastAsia="Times New Roman"/>
        </w:rPr>
        <w:t>2022 </w:t>
      </w:r>
      <w:r>
        <w:rPr/>
        <w:t>年预算增长 </w:t>
      </w:r>
      <w:r>
        <w:rPr>
          <w:rFonts w:ascii="Times New Roman" w:eastAsia="Times New Roman"/>
        </w:rPr>
        <w:t>28.71%</w:t>
      </w:r>
      <w:r>
        <w:rPr/>
        <w:t>。</w:t>
      </w:r>
    </w:p>
    <w:p>
      <w:pPr>
        <w:pStyle w:val="Heading3"/>
        <w:spacing w:line="483" w:lineRule="exact"/>
      </w:pPr>
      <w:r>
        <w:rPr/>
        <w:t>（四）预算绩效情况。</w:t>
      </w:r>
    </w:p>
    <w:p>
      <w:pPr>
        <w:pStyle w:val="BodyText"/>
        <w:spacing w:before="139"/>
        <w:ind w:left="1856"/>
      </w:pPr>
      <w:r>
        <w:rPr>
          <w:rFonts w:ascii="Times New Roman" w:eastAsia="Times New Roman"/>
        </w:rPr>
        <w:t>2023 </w:t>
      </w:r>
      <w:r>
        <w:rPr/>
        <w:t>年对喀什市消防救援大队项目支出全面实施绩效目标管</w:t>
      </w:r>
    </w:p>
    <w:p>
      <w:pPr>
        <w:pStyle w:val="BodyText"/>
        <w:spacing w:before="209"/>
        <w:ind w:left="1218"/>
      </w:pPr>
      <w:r>
        <w:rPr/>
        <w:t>理，涉及一般公共预算拨款 </w:t>
      </w:r>
      <w:r>
        <w:rPr>
          <w:rFonts w:ascii="Times New Roman" w:eastAsia="Times New Roman"/>
        </w:rPr>
        <w:t>210.73 </w:t>
      </w:r>
      <w:r>
        <w:rPr/>
        <w:t>万元，一级项目 </w:t>
      </w:r>
      <w:r>
        <w:rPr>
          <w:rFonts w:ascii="Times New Roman" w:eastAsia="Times New Roman"/>
        </w:rPr>
        <w:t>1 </w:t>
      </w:r>
      <w:r>
        <w:rPr/>
        <w:t>个。</w:t>
      </w:r>
    </w:p>
    <w:p>
      <w:pPr>
        <w:pStyle w:val="Heading3"/>
        <w:spacing w:before="103"/>
      </w:pPr>
      <w:r>
        <w:rPr/>
        <w:t>（五）项目经费情况说明。</w:t>
      </w:r>
    </w:p>
    <w:p>
      <w:pPr>
        <w:pStyle w:val="BodyText"/>
        <w:spacing w:before="139"/>
        <w:ind w:left="1856"/>
      </w:pPr>
      <w:r>
        <w:rPr>
          <w:rFonts w:ascii="Times New Roman" w:eastAsia="Times New Roman"/>
        </w:rPr>
        <w:t>2023 </w:t>
      </w:r>
      <w:r>
        <w:rPr/>
        <w:t>年喀什市消防救援大队伙食费补助项目 </w:t>
      </w:r>
      <w:r>
        <w:rPr>
          <w:rFonts w:ascii="Times New Roman" w:eastAsia="Times New Roman"/>
        </w:rPr>
        <w:t>1 </w:t>
      </w:r>
      <w:r>
        <w:rPr/>
        <w:t>个，涉及一般</w:t>
      </w:r>
    </w:p>
    <w:p>
      <w:pPr>
        <w:pStyle w:val="BodyText"/>
        <w:spacing w:before="209"/>
        <w:ind w:left="1218"/>
      </w:pPr>
      <w:r>
        <w:rPr/>
        <w:t>公共预算拨款 </w:t>
      </w:r>
      <w:r>
        <w:rPr>
          <w:rFonts w:ascii="Times New Roman" w:eastAsia="Times New Roman"/>
        </w:rPr>
        <w:t>210.73 </w:t>
      </w:r>
      <w:r>
        <w:rPr/>
        <w:t>万元；</w:t>
      </w:r>
    </w:p>
    <w:p>
      <w:pPr>
        <w:spacing w:after="0"/>
        <w:sectPr>
          <w:pgSz w:w="11910" w:h="16840"/>
          <w:pgMar w:header="0" w:footer="273" w:top="1540" w:bottom="460" w:left="200" w:right="80"/>
        </w:sectPr>
      </w:pPr>
    </w:p>
    <w:p>
      <w:pPr>
        <w:pStyle w:val="BodyText"/>
        <w:rPr>
          <w:sz w:val="20"/>
        </w:rPr>
      </w:pPr>
      <w:r>
        <w:rPr/>
        <w:pict>
          <v:group style="position:absolute;margin-left:.0pt;margin-top:.000049pt;width:580.2pt;height:841.9pt;mso-position-horizontal-relative:page;mso-position-vertical-relative:page;z-index:-255037440" coordorigin="0,0" coordsize="11604,16838">
            <v:line style="position:absolute" from="6316,44" to="6316,7577" stroked="true" strokeweight="3.686669pt" strokecolor="#cccc00">
              <v:stroke dashstyle="solid"/>
            </v:line>
            <v:line style="position:absolute" from="6450,35" to="6450,7577" stroked="true" strokeweight="3.932468pt" strokecolor="#cccc00">
              <v:stroke dashstyle="solid"/>
            </v:line>
            <v:line style="position:absolute" from="6316,11165" to="6316,16838" stroked="true" strokeweight="3.686669pt" strokecolor="#cccc00">
              <v:stroke dashstyle="solid"/>
            </v:line>
            <v:line style="position:absolute" from="6450,11165" to="6450,16838" stroked="true" strokeweight="3.932468pt" strokecolor="#cccc00">
              <v:stroke dashstyle="solid"/>
            </v:line>
            <v:shape style="position:absolute;left:6181;top:0;width:2;height:16838" coordorigin="6182,0" coordsize="0,16838" path="m6182,0l6182,7577m6182,11165l6182,16838e" filled="false" stroked="true" strokeweight="1.521476pt" strokecolor="#cccc00">
              <v:path arrowok="t"/>
              <v:stroke dashstyle="solid"/>
            </v:shape>
            <v:rect style="position:absolute;left:0;top:7576;width:11597;height:3588" filled="true" fillcolor="#cc99ff" stroked="false">
              <v:fill type="solid"/>
            </v:rect>
            <v:shape style="position:absolute;left:0;top:7569;width:11604;height:3603" coordorigin="0,7570" coordsize="11604,3603" path="m11589,7585l0,7585,0,7570,11604,7570,11604,7577,11589,7577,11589,7585xm11589,11165l11589,7577,11596,7585,11604,7585,11604,11158,11596,11158,11589,11165xm11604,7585l11596,7585,11589,7577,11604,7577,11604,7585xm11604,11173l0,11173,0,11158,11589,11158,11589,11165,11604,11165,11604,11173xm11604,11165l11589,11165,11596,11158,11604,11158,11604,11165xe" filled="true" fillcolor="#000000" stroked="false">
              <v:path arrowok="t"/>
              <v:fill type="solid"/>
            </v:shape>
            <w10:wrap type="none"/>
          </v:group>
        </w:pict>
      </w:r>
      <w:r>
        <w:rPr/>
        <w:pict>
          <v:shape style="position:absolute;margin-left:329.641205pt;margin-top:.000049pt;width:251.75pt;height:842.3pt;mso-position-horizontal-relative:page;mso-position-vertical-relative:page;z-index:251669504" type="#_x0000_t202" filled="false" stroked="false">
            <v:textbox inset="0,0,0,0">
              <w:txbxContent>
                <w:tbl>
                  <w:tblPr>
                    <w:tblW w:w="0" w:type="auto"/>
                    <w:jc w:val="left"/>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008"/>
                  </w:tblGrid>
                  <w:tr>
                    <w:trPr>
                      <w:trHeight w:val="7568" w:hRule="atLeast"/>
                    </w:trPr>
                    <w:tc>
                      <w:tcPr>
                        <w:tcW w:w="5008" w:type="dxa"/>
                        <w:tcBorders>
                          <w:top w:val="single" w:sz="4" w:space="0" w:color="000000"/>
                          <w:left w:val="thickThinMediumGap" w:sz="6" w:space="0" w:color="CCCC00"/>
                          <w:right w:val="single" w:sz="6" w:space="0" w:color="000000"/>
                        </w:tcBorders>
                        <w:shd w:val="clear" w:color="auto" w:fill="CCFFCC"/>
                      </w:tcPr>
                      <w:p>
                        <w:pPr>
                          <w:pStyle w:val="TableParagraph"/>
                          <w:rPr>
                            <w:rFonts w:ascii="Times New Roman"/>
                            <w:sz w:val="44"/>
                          </w:rPr>
                        </w:pPr>
                      </w:p>
                    </w:tc>
                  </w:tr>
                  <w:tr>
                    <w:trPr>
                      <w:trHeight w:val="3587" w:hRule="atLeast"/>
                    </w:trPr>
                    <w:tc>
                      <w:tcPr>
                        <w:tcW w:w="5008" w:type="dxa"/>
                        <w:tcBorders>
                          <w:right w:val="single" w:sz="6" w:space="0" w:color="000000"/>
                        </w:tcBorders>
                        <w:shd w:val="clear" w:color="auto" w:fill="CC99FF"/>
                      </w:tcPr>
                      <w:p>
                        <w:pPr>
                          <w:pStyle w:val="TableParagraph"/>
                          <w:rPr>
                            <w:rFonts w:ascii="Times New Roman"/>
                            <w:sz w:val="44"/>
                          </w:rPr>
                        </w:pPr>
                      </w:p>
                    </w:tc>
                  </w:tr>
                  <w:tr>
                    <w:trPr>
                      <w:trHeight w:val="5673" w:hRule="atLeast"/>
                    </w:trPr>
                    <w:tc>
                      <w:tcPr>
                        <w:tcW w:w="5008" w:type="dxa"/>
                        <w:tcBorders>
                          <w:left w:val="thickThinMediumGap" w:sz="6" w:space="0" w:color="CCCC00"/>
                          <w:right w:val="single" w:sz="6" w:space="0" w:color="000000"/>
                        </w:tcBorders>
                        <w:shd w:val="clear" w:color="auto" w:fill="CCFFCC"/>
                      </w:tcPr>
                      <w:p>
                        <w:pPr>
                          <w:pStyle w:val="TableParagraph"/>
                          <w:rPr>
                            <w:rFonts w:ascii="Times New Roman"/>
                            <w:sz w:val="44"/>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24"/>
        </w:rPr>
      </w:pPr>
    </w:p>
    <w:p>
      <w:pPr>
        <w:pStyle w:val="Heading1"/>
        <w:ind w:left="707"/>
      </w:pPr>
      <w:r>
        <w:rPr>
          <w:color w:val="FFFFFF"/>
        </w:rPr>
        <w:t>第四部分</w:t>
      </w:r>
    </w:p>
    <w:p>
      <w:pPr>
        <w:spacing w:before="270"/>
        <w:ind w:left="1494" w:right="0" w:firstLine="0"/>
        <w:jc w:val="left"/>
        <w:rPr>
          <w:rFonts w:ascii="黑体" w:eastAsia="黑体" w:hint="eastAsia"/>
          <w:b/>
          <w:sz w:val="52"/>
        </w:rPr>
      </w:pPr>
      <w:r>
        <w:rPr>
          <w:rFonts w:ascii="黑体" w:eastAsia="黑体" w:hint="eastAsia"/>
          <w:b/>
          <w:color w:val="FFFFFF"/>
          <w:sz w:val="52"/>
        </w:rPr>
        <w:t>名词解释</w:t>
      </w:r>
    </w:p>
    <w:p>
      <w:pPr>
        <w:spacing w:after="0"/>
        <w:jc w:val="left"/>
        <w:rPr>
          <w:rFonts w:ascii="黑体" w:eastAsia="黑体" w:hint="eastAsia"/>
          <w:sz w:val="52"/>
        </w:rPr>
        <w:sectPr>
          <w:pgSz w:w="11910" w:h="16840"/>
          <w:pgMar w:header="0" w:footer="273" w:top="0" w:bottom="460" w:left="200" w:right="80"/>
        </w:sectPr>
      </w:pPr>
    </w:p>
    <w:p>
      <w:pPr>
        <w:pStyle w:val="BodyText"/>
        <w:spacing w:before="55"/>
        <w:ind w:left="1856"/>
      </w:pPr>
      <w:r>
        <w:rPr/>
        <w:t>一、收入类</w:t>
      </w:r>
    </w:p>
    <w:p>
      <w:pPr>
        <w:spacing w:before="104"/>
        <w:ind w:left="1856" w:right="0" w:firstLine="0"/>
        <w:jc w:val="left"/>
        <w:rPr>
          <w:sz w:val="32"/>
        </w:rPr>
      </w:pPr>
      <w:r>
        <w:rPr>
          <w:rFonts w:ascii="Microsoft JhengHei" w:eastAsia="Microsoft JhengHei" w:hint="eastAsia"/>
          <w:b/>
          <w:sz w:val="32"/>
        </w:rPr>
        <w:t>（一</w:t>
      </w:r>
      <w:r>
        <w:rPr>
          <w:rFonts w:ascii="Microsoft JhengHei" w:eastAsia="Microsoft JhengHei" w:hint="eastAsia"/>
          <w:b/>
          <w:spacing w:val="-51"/>
          <w:sz w:val="32"/>
        </w:rPr>
        <w:t>）</w:t>
      </w:r>
      <w:r>
        <w:rPr>
          <w:rFonts w:ascii="Microsoft JhengHei" w:eastAsia="Microsoft JhengHei" w:hint="eastAsia"/>
          <w:b/>
          <w:spacing w:val="-5"/>
          <w:sz w:val="32"/>
        </w:rPr>
        <w:t>一般公共预算拨款收入：</w:t>
      </w:r>
      <w:r>
        <w:rPr>
          <w:sz w:val="32"/>
        </w:rPr>
        <w:t>指中央财政当年拨付的资金。</w:t>
      </w:r>
    </w:p>
    <w:p>
      <w:pPr>
        <w:pStyle w:val="BodyText"/>
        <w:spacing w:line="295" w:lineRule="auto" w:before="33"/>
        <w:ind w:left="1218" w:right="1372" w:firstLine="638"/>
      </w:pPr>
      <w:r>
        <w:rPr>
          <w:rFonts w:ascii="Microsoft JhengHei" w:eastAsia="Microsoft JhengHei" w:hint="eastAsia"/>
          <w:b/>
        </w:rPr>
        <w:t>（二）事业收入：</w:t>
      </w:r>
      <w:r>
        <w:rPr/>
        <w:t>指事业单位开展专业业务活动及辅助活动所取得的收入。如新疆消防救援总队所主管科研单位开展专用产</w:t>
      </w:r>
    </w:p>
    <w:p>
      <w:pPr>
        <w:pStyle w:val="BodyText"/>
        <w:spacing w:before="116"/>
        <w:ind w:left="1218"/>
      </w:pPr>
      <w:r>
        <w:rPr/>
        <w:t>品检测等专业业务活动及辅助活动所取得的收入。</w:t>
      </w:r>
    </w:p>
    <w:p>
      <w:pPr>
        <w:pStyle w:val="BodyText"/>
        <w:spacing w:line="620" w:lineRule="exact" w:before="36"/>
        <w:ind w:left="1218" w:right="1374" w:firstLine="638"/>
        <w:jc w:val="both"/>
      </w:pPr>
      <w:r>
        <w:rPr>
          <w:rFonts w:ascii="Microsoft JhengHei" w:eastAsia="Microsoft JhengHei" w:hint="eastAsia"/>
          <w:b/>
        </w:rPr>
        <w:t>（三）事业单位经营收入：</w:t>
      </w:r>
      <w:r>
        <w:rPr/>
        <w:t>指事业单位在专业业务活动及其辅助活动之外开展非独立核算经营活动取得的收入。如：新疆消</w:t>
      </w:r>
      <w:r>
        <w:rPr>
          <w:w w:val="95"/>
        </w:rPr>
        <w:t>防救援总队所主管科研单位开展非独立核算的试制产品销售收</w:t>
      </w:r>
    </w:p>
    <w:p>
      <w:pPr>
        <w:pStyle w:val="BodyText"/>
        <w:spacing w:before="176"/>
        <w:ind w:left="1218"/>
      </w:pPr>
      <w:r>
        <w:rPr/>
        <w:t>入。</w:t>
      </w:r>
    </w:p>
    <w:p>
      <w:pPr>
        <w:pStyle w:val="BodyText"/>
        <w:spacing w:before="4"/>
        <w:rPr>
          <w:sz w:val="11"/>
        </w:rPr>
      </w:pPr>
    </w:p>
    <w:p>
      <w:pPr>
        <w:spacing w:line="547" w:lineRule="exact" w:before="0"/>
        <w:ind w:left="1856" w:right="0" w:firstLine="0"/>
        <w:jc w:val="left"/>
        <w:rPr>
          <w:sz w:val="32"/>
        </w:rPr>
      </w:pPr>
      <w:r>
        <w:rPr>
          <w:rFonts w:ascii="Microsoft JhengHei" w:hAnsi="Microsoft JhengHei" w:eastAsia="Microsoft JhengHei" w:hint="eastAsia"/>
          <w:b/>
          <w:sz w:val="32"/>
        </w:rPr>
        <w:t>（四）其他收入：</w:t>
      </w:r>
      <w:r>
        <w:rPr>
          <w:sz w:val="32"/>
        </w:rPr>
        <w:t>指除上述</w:t>
      </w:r>
      <w:r>
        <w:rPr>
          <w:rFonts w:ascii="Times New Roman" w:hAnsi="Times New Roman" w:eastAsia="Times New Roman"/>
          <w:sz w:val="32"/>
        </w:rPr>
        <w:t>“</w:t>
      </w:r>
      <w:r>
        <w:rPr>
          <w:sz w:val="32"/>
        </w:rPr>
        <w:t>一般公共预算拨款收入</w:t>
      </w:r>
      <w:r>
        <w:rPr>
          <w:rFonts w:ascii="Times New Roman" w:hAnsi="Times New Roman" w:eastAsia="Times New Roman"/>
          <w:sz w:val="32"/>
        </w:rPr>
        <w:t>”“</w:t>
      </w:r>
      <w:r>
        <w:rPr>
          <w:sz w:val="32"/>
        </w:rPr>
        <w:t>事业收</w:t>
      </w:r>
    </w:p>
    <w:p>
      <w:pPr>
        <w:pStyle w:val="BodyText"/>
        <w:spacing w:line="362" w:lineRule="auto" w:before="138"/>
        <w:ind w:left="1218" w:right="1312"/>
      </w:pPr>
      <w:r>
        <w:rPr>
          <w:w w:val="95"/>
        </w:rPr>
        <w:t>入</w:t>
      </w:r>
      <w:r>
        <w:rPr>
          <w:rFonts w:ascii="Times New Roman" w:hAnsi="Times New Roman" w:eastAsia="Times New Roman"/>
          <w:w w:val="95"/>
        </w:rPr>
        <w:t>”“</w:t>
      </w:r>
      <w:r>
        <w:rPr>
          <w:w w:val="95"/>
        </w:rPr>
        <w:t>事业单位经营收入</w:t>
      </w:r>
      <w:r>
        <w:rPr>
          <w:rFonts w:ascii="Times New Roman" w:hAnsi="Times New Roman" w:eastAsia="Times New Roman"/>
          <w:w w:val="95"/>
        </w:rPr>
        <w:t>”</w:t>
      </w:r>
      <w:r>
        <w:rPr>
          <w:w w:val="95"/>
        </w:rPr>
        <w:t>等以外的收入。主要是各级地方财政拨款 </w:t>
      </w:r>
      <w:r>
        <w:rPr/>
        <w:t>收入、存款利息收入等。</w:t>
      </w:r>
    </w:p>
    <w:p>
      <w:pPr>
        <w:spacing w:line="483" w:lineRule="exact" w:before="0"/>
        <w:ind w:left="1856" w:right="0" w:firstLine="0"/>
        <w:jc w:val="left"/>
        <w:rPr>
          <w:sz w:val="32"/>
        </w:rPr>
      </w:pPr>
      <w:r>
        <w:rPr>
          <w:rFonts w:ascii="Microsoft JhengHei" w:eastAsia="Microsoft JhengHei" w:hint="eastAsia"/>
          <w:b/>
          <w:sz w:val="32"/>
        </w:rPr>
        <w:t>（五）上年结转：</w:t>
      </w:r>
      <w:r>
        <w:rPr>
          <w:sz w:val="32"/>
        </w:rPr>
        <w:t>指以前年度尚未完成、结转到本年仍按原</w:t>
      </w:r>
    </w:p>
    <w:p>
      <w:pPr>
        <w:pStyle w:val="BodyText"/>
        <w:spacing w:before="137"/>
        <w:ind w:left="1218"/>
      </w:pPr>
      <w:r>
        <w:rPr/>
        <w:t>规定用途继续使用的资金。</w:t>
      </w:r>
    </w:p>
    <w:p>
      <w:pPr>
        <w:pStyle w:val="BodyText"/>
        <w:spacing w:before="211"/>
        <w:ind w:left="1856"/>
      </w:pPr>
      <w:r>
        <w:rPr/>
        <w:t>二、支出类</w:t>
      </w:r>
    </w:p>
    <w:p>
      <w:pPr>
        <w:spacing w:line="295" w:lineRule="auto" w:before="104"/>
        <w:ind w:left="1218" w:right="1130" w:firstLine="638"/>
        <w:jc w:val="left"/>
        <w:rPr>
          <w:sz w:val="32"/>
        </w:rPr>
      </w:pPr>
      <w:r>
        <w:rPr>
          <w:rFonts w:ascii="Microsoft JhengHei" w:eastAsia="Microsoft JhengHei" w:hint="eastAsia"/>
          <w:b/>
          <w:sz w:val="32"/>
        </w:rPr>
        <w:t>（一）科学技术支出（类）应用研究（款）机构运行（项）： </w:t>
      </w:r>
      <w:r>
        <w:rPr>
          <w:sz w:val="32"/>
        </w:rPr>
        <w:t>指新疆消防救援总队所主管承担科研任务事业单位的基本支出。</w:t>
      </w:r>
    </w:p>
    <w:p>
      <w:pPr>
        <w:spacing w:line="295" w:lineRule="auto" w:before="13"/>
        <w:ind w:left="1218" w:right="1206" w:firstLine="638"/>
        <w:jc w:val="left"/>
        <w:rPr>
          <w:sz w:val="32"/>
        </w:rPr>
      </w:pPr>
      <w:r>
        <w:rPr>
          <w:rFonts w:ascii="Microsoft JhengHei" w:eastAsia="Microsoft JhengHei" w:hint="eastAsia"/>
          <w:b/>
          <w:spacing w:val="2"/>
          <w:w w:val="99"/>
          <w:sz w:val="32"/>
        </w:rPr>
        <w:t>（二</w:t>
      </w:r>
      <w:r>
        <w:rPr>
          <w:rFonts w:ascii="Microsoft JhengHei" w:eastAsia="Microsoft JhengHei" w:hint="eastAsia"/>
          <w:b/>
          <w:spacing w:val="-99"/>
          <w:w w:val="99"/>
          <w:sz w:val="32"/>
        </w:rPr>
        <w:t>）</w:t>
      </w:r>
      <w:r>
        <w:rPr>
          <w:rFonts w:ascii="Microsoft JhengHei" w:eastAsia="Microsoft JhengHei" w:hint="eastAsia"/>
          <w:b/>
          <w:spacing w:val="-15"/>
          <w:w w:val="99"/>
          <w:sz w:val="32"/>
        </w:rPr>
        <w:t>科学技术支出</w:t>
      </w:r>
      <w:r>
        <w:rPr>
          <w:rFonts w:ascii="Microsoft JhengHei" w:eastAsia="Microsoft JhengHei" w:hint="eastAsia"/>
          <w:b/>
          <w:w w:val="99"/>
          <w:sz w:val="32"/>
        </w:rPr>
        <w:t>（</w:t>
      </w:r>
      <w:r>
        <w:rPr>
          <w:rFonts w:ascii="Microsoft JhengHei" w:eastAsia="Microsoft JhengHei" w:hint="eastAsia"/>
          <w:b/>
          <w:spacing w:val="2"/>
          <w:w w:val="99"/>
          <w:sz w:val="32"/>
        </w:rPr>
        <w:t>类</w:t>
      </w:r>
      <w:r>
        <w:rPr>
          <w:rFonts w:ascii="Microsoft JhengHei" w:eastAsia="Microsoft JhengHei" w:hint="eastAsia"/>
          <w:b/>
          <w:spacing w:val="-96"/>
          <w:w w:val="99"/>
          <w:sz w:val="32"/>
        </w:rPr>
        <w:t>）</w:t>
      </w:r>
      <w:r>
        <w:rPr>
          <w:rFonts w:ascii="Microsoft JhengHei" w:eastAsia="Microsoft JhengHei" w:hint="eastAsia"/>
          <w:b/>
          <w:spacing w:val="-24"/>
          <w:w w:val="99"/>
          <w:sz w:val="32"/>
        </w:rPr>
        <w:t>应用研究</w:t>
      </w:r>
      <w:r>
        <w:rPr>
          <w:rFonts w:ascii="Microsoft JhengHei" w:eastAsia="Microsoft JhengHei" w:hint="eastAsia"/>
          <w:b/>
          <w:w w:val="99"/>
          <w:sz w:val="32"/>
        </w:rPr>
        <w:t>（</w:t>
      </w:r>
      <w:r>
        <w:rPr>
          <w:rFonts w:ascii="Microsoft JhengHei" w:eastAsia="Microsoft JhengHei" w:hint="eastAsia"/>
          <w:b/>
          <w:spacing w:val="5"/>
          <w:w w:val="99"/>
          <w:sz w:val="32"/>
        </w:rPr>
        <w:t>款</w:t>
      </w:r>
      <w:r>
        <w:rPr>
          <w:rFonts w:ascii="Microsoft JhengHei" w:eastAsia="Microsoft JhengHei" w:hint="eastAsia"/>
          <w:b/>
          <w:spacing w:val="-99"/>
          <w:w w:val="99"/>
          <w:sz w:val="32"/>
        </w:rPr>
        <w:t>）</w:t>
      </w:r>
      <w:r>
        <w:rPr>
          <w:rFonts w:ascii="Microsoft JhengHei" w:eastAsia="Microsoft JhengHei" w:hint="eastAsia"/>
          <w:b/>
          <w:spacing w:val="-15"/>
          <w:w w:val="99"/>
          <w:sz w:val="32"/>
        </w:rPr>
        <w:t>社会公益研究</w:t>
      </w:r>
      <w:r>
        <w:rPr>
          <w:rFonts w:ascii="Microsoft JhengHei" w:eastAsia="Microsoft JhengHei" w:hint="eastAsia"/>
          <w:b/>
          <w:spacing w:val="2"/>
          <w:w w:val="99"/>
          <w:sz w:val="32"/>
        </w:rPr>
        <w:t>（项</w:t>
      </w:r>
      <w:r>
        <w:rPr>
          <w:rFonts w:ascii="Microsoft JhengHei" w:eastAsia="Microsoft JhengHei" w:hint="eastAsia"/>
          <w:b/>
          <w:spacing w:val="-159"/>
          <w:w w:val="99"/>
          <w:sz w:val="32"/>
        </w:rPr>
        <w:t>）</w:t>
      </w:r>
      <w:r>
        <w:rPr>
          <w:rFonts w:ascii="Microsoft JhengHei" w:eastAsia="Microsoft JhengHei" w:hint="eastAsia"/>
          <w:b/>
          <w:w w:val="99"/>
          <w:sz w:val="32"/>
        </w:rPr>
        <w:t>：</w:t>
      </w:r>
      <w:r>
        <w:rPr>
          <w:sz w:val="32"/>
        </w:rPr>
        <w:t>指新疆消防救援总队所主管承担科研任务事业单位开展消防技术</w:t>
      </w:r>
    </w:p>
    <w:p>
      <w:pPr>
        <w:pStyle w:val="BodyText"/>
        <w:spacing w:before="116"/>
        <w:ind w:left="1218"/>
      </w:pPr>
      <w:r>
        <w:rPr/>
        <w:t>等社会公益专项科研方面的支出。</w:t>
      </w:r>
    </w:p>
    <w:p>
      <w:pPr>
        <w:spacing w:line="252" w:lineRule="auto" w:before="106"/>
        <w:ind w:left="1218" w:right="1372" w:firstLine="638"/>
        <w:jc w:val="left"/>
        <w:rPr>
          <w:sz w:val="32"/>
        </w:rPr>
      </w:pPr>
      <w:r>
        <w:rPr>
          <w:rFonts w:ascii="Microsoft JhengHei" w:eastAsia="Microsoft JhengHei" w:hint="eastAsia"/>
          <w:b/>
          <w:sz w:val="32"/>
        </w:rPr>
        <w:t>（三）科学技术支出（类）应用研究（款）其他应用研究支出（项）：</w:t>
      </w:r>
      <w:r>
        <w:rPr>
          <w:sz w:val="32"/>
        </w:rPr>
        <w:t>指新疆消防救援总队所主管承担科研任务事业单位开</w:t>
      </w:r>
    </w:p>
    <w:p>
      <w:pPr>
        <w:spacing w:after="0" w:line="252" w:lineRule="auto"/>
        <w:jc w:val="left"/>
        <w:rPr>
          <w:sz w:val="32"/>
        </w:rPr>
        <w:sectPr>
          <w:pgSz w:w="11910" w:h="16840"/>
          <w:pgMar w:header="0" w:footer="273" w:top="1520" w:bottom="460" w:left="200" w:right="80"/>
        </w:sectPr>
      </w:pPr>
    </w:p>
    <w:p>
      <w:pPr>
        <w:pStyle w:val="BodyText"/>
        <w:spacing w:before="35"/>
        <w:ind w:left="1218"/>
      </w:pPr>
      <w:r>
        <w:rPr/>
        <w:t>展消防装备等应用研究方面的支出。</w:t>
      </w:r>
    </w:p>
    <w:p>
      <w:pPr>
        <w:spacing w:line="273" w:lineRule="auto" w:before="104"/>
        <w:ind w:left="1218" w:right="1372" w:firstLine="638"/>
        <w:jc w:val="both"/>
        <w:rPr>
          <w:sz w:val="32"/>
        </w:rPr>
      </w:pPr>
      <w:r>
        <w:rPr>
          <w:rFonts w:ascii="Microsoft JhengHei" w:eastAsia="Microsoft JhengHei" w:hint="eastAsia"/>
          <w:b/>
          <w:sz w:val="32"/>
        </w:rPr>
        <w:t>（四）科学技术支出（类）科技条件与服务（款）科技条件专项（项）：</w:t>
      </w:r>
      <w:r>
        <w:rPr>
          <w:sz w:val="32"/>
        </w:rPr>
        <w:t>指财政部核定新疆消防救援总队的中央级科学事业单位修缮购置经费。</w:t>
      </w:r>
    </w:p>
    <w:p>
      <w:pPr>
        <w:spacing w:line="273" w:lineRule="auto" w:before="51"/>
        <w:ind w:left="1218" w:right="1372" w:firstLine="638"/>
        <w:jc w:val="both"/>
        <w:rPr>
          <w:sz w:val="32"/>
        </w:rPr>
      </w:pPr>
      <w:r>
        <w:rPr>
          <w:rFonts w:ascii="Microsoft JhengHei" w:eastAsia="Microsoft JhengHei" w:hint="eastAsia"/>
          <w:b/>
          <w:sz w:val="32"/>
        </w:rPr>
        <w:t>（五）科学技术支出（类）其他科学技术支出（款）其他科学技术支出（项）：</w:t>
      </w:r>
      <w:r>
        <w:rPr>
          <w:sz w:val="32"/>
        </w:rPr>
        <w:t>指财政部核定新疆消防救援总队的科技业务管理费支出。</w:t>
      </w:r>
    </w:p>
    <w:p>
      <w:pPr>
        <w:pStyle w:val="Heading3"/>
        <w:spacing w:before="207"/>
      </w:pPr>
      <w:r>
        <w:rPr/>
        <w:t>（六）住房保障支出（类）住房改革支出（款）住房公积金</w:t>
      </w:r>
    </w:p>
    <w:p>
      <w:pPr>
        <w:pStyle w:val="BodyText"/>
        <w:spacing w:line="295" w:lineRule="auto" w:before="33"/>
        <w:ind w:left="1218" w:right="1216"/>
        <w:rPr>
          <w:rFonts w:ascii="仿宋" w:eastAsia="仿宋" w:hint="eastAsia"/>
        </w:rPr>
      </w:pPr>
      <w:r>
        <w:rPr>
          <w:rFonts w:ascii="Microsoft JhengHei" w:eastAsia="Microsoft JhengHei" w:hint="eastAsia"/>
          <w:b/>
        </w:rPr>
        <w:t>（项）</w:t>
      </w:r>
      <w:r>
        <w:rPr/>
        <w:t>：</w:t>
      </w:r>
      <w:r>
        <w:rPr>
          <w:rFonts w:ascii="仿宋" w:eastAsia="仿宋" w:hint="eastAsia"/>
        </w:rPr>
        <w:t>指按照《住房公积金管理条例》的规定，由单位及其在</w:t>
      </w:r>
      <w:r>
        <w:rPr>
          <w:rFonts w:ascii="仿宋" w:eastAsia="仿宋" w:hint="eastAsia"/>
          <w:w w:val="95"/>
        </w:rPr>
        <w:t>职职工缴存的长期住房储金。该项政策始于上世纪九十年代中期，</w:t>
      </w:r>
    </w:p>
    <w:p>
      <w:pPr>
        <w:pStyle w:val="BodyText"/>
        <w:spacing w:line="362" w:lineRule="auto" w:before="118"/>
        <w:ind w:left="1218" w:right="1216"/>
        <w:rPr>
          <w:rFonts w:ascii="仿宋" w:eastAsia="仿宋" w:hint="eastAsia"/>
        </w:rPr>
      </w:pPr>
      <w:r>
        <w:rPr>
          <w:rFonts w:ascii="仿宋" w:eastAsia="仿宋" w:hint="eastAsia"/>
        </w:rPr>
        <w:t>在全国机关、企事业单位在职职工中普遍实施，缴存比例最低不</w:t>
      </w:r>
      <w:r>
        <w:rPr>
          <w:rFonts w:ascii="仿宋" w:eastAsia="仿宋" w:hint="eastAsia"/>
          <w:spacing w:val="-28"/>
        </w:rPr>
        <w:t>低于 </w:t>
      </w:r>
      <w:r>
        <w:rPr>
          <w:rFonts w:ascii="Times New Roman" w:eastAsia="Times New Roman"/>
          <w:spacing w:val="-16"/>
        </w:rPr>
        <w:t>5%</w:t>
      </w:r>
      <w:r>
        <w:rPr>
          <w:rFonts w:ascii="仿宋" w:eastAsia="仿宋" w:hint="eastAsia"/>
          <w:spacing w:val="-16"/>
        </w:rPr>
        <w:t>，最高不超过 </w:t>
      </w:r>
      <w:r>
        <w:rPr>
          <w:rFonts w:ascii="Times New Roman" w:eastAsia="Times New Roman"/>
          <w:spacing w:val="-12"/>
        </w:rPr>
        <w:t>12%</w:t>
      </w:r>
      <w:r>
        <w:rPr>
          <w:rFonts w:ascii="仿宋" w:eastAsia="仿宋" w:hint="eastAsia"/>
          <w:spacing w:val="-6"/>
        </w:rPr>
        <w:t>，缴存基数为职工本人上年工资。行政</w:t>
      </w:r>
      <w:r>
        <w:rPr>
          <w:rFonts w:ascii="仿宋" w:eastAsia="仿宋" w:hint="eastAsia"/>
        </w:rPr>
        <w:t>单位缴存基数包括国家统一规定的公务员职务工资、级别工资、机关工人岗位工资和技术等级（</w:t>
      </w:r>
      <w:r>
        <w:rPr>
          <w:rFonts w:ascii="仿宋" w:eastAsia="仿宋" w:hint="eastAsia"/>
          <w:spacing w:val="2"/>
        </w:rPr>
        <w:t>职务</w:t>
      </w:r>
      <w:r>
        <w:rPr>
          <w:rFonts w:ascii="仿宋" w:eastAsia="仿宋" w:hint="eastAsia"/>
        </w:rPr>
        <w:t>）工资、年终一次性奖金、特殊岗位津贴、艰苦边远地区津贴，规范后发放的工作性津贴、</w:t>
      </w:r>
      <w:r>
        <w:rPr>
          <w:rFonts w:ascii="仿宋" w:eastAsia="仿宋" w:hint="eastAsia"/>
          <w:spacing w:val="-10"/>
          <w:w w:val="95"/>
        </w:rPr>
        <w:t>生活性补贴等；事业单位缴存基数包括国家统一规定的岗位工资、 </w:t>
      </w:r>
      <w:r>
        <w:rPr>
          <w:rFonts w:ascii="仿宋" w:eastAsia="仿宋" w:hint="eastAsia"/>
          <w:spacing w:val="-10"/>
        </w:rPr>
        <w:t>薪级工资、绩效工资、艰苦边远地区津贴、特殊岗位津贴等。</w:t>
      </w:r>
    </w:p>
    <w:p>
      <w:pPr>
        <w:pStyle w:val="Heading3"/>
        <w:spacing w:before="56"/>
        <w:rPr>
          <w:rFonts w:ascii="宋体" w:eastAsia="宋体" w:hint="eastAsia"/>
          <w:b w:val="0"/>
        </w:rPr>
      </w:pPr>
      <w:r>
        <w:rPr>
          <w:spacing w:val="2"/>
          <w:w w:val="99"/>
        </w:rPr>
        <w:t>（七</w:t>
      </w:r>
      <w:r>
        <w:rPr>
          <w:spacing w:val="-99"/>
          <w:w w:val="99"/>
        </w:rPr>
        <w:t>）</w:t>
      </w:r>
      <w:r>
        <w:rPr>
          <w:spacing w:val="-15"/>
          <w:w w:val="99"/>
        </w:rPr>
        <w:t>住房保障支出</w:t>
      </w:r>
      <w:r>
        <w:rPr>
          <w:w w:val="99"/>
        </w:rPr>
        <w:t>（</w:t>
      </w:r>
      <w:r>
        <w:rPr>
          <w:spacing w:val="2"/>
          <w:w w:val="99"/>
        </w:rPr>
        <w:t>类</w:t>
      </w:r>
      <w:r>
        <w:rPr>
          <w:spacing w:val="-96"/>
          <w:w w:val="99"/>
        </w:rPr>
        <w:t>）</w:t>
      </w:r>
      <w:r>
        <w:rPr>
          <w:spacing w:val="-15"/>
          <w:w w:val="99"/>
        </w:rPr>
        <w:t>住房改革支出</w:t>
      </w:r>
      <w:r>
        <w:rPr>
          <w:spacing w:val="2"/>
          <w:w w:val="99"/>
        </w:rPr>
        <w:t>（款</w:t>
      </w:r>
      <w:r>
        <w:rPr>
          <w:spacing w:val="-99"/>
          <w:w w:val="99"/>
        </w:rPr>
        <w:t>）</w:t>
      </w:r>
      <w:r>
        <w:rPr>
          <w:spacing w:val="-23"/>
          <w:w w:val="99"/>
        </w:rPr>
        <w:t>购房补贴</w:t>
      </w:r>
      <w:r>
        <w:rPr>
          <w:w w:val="99"/>
        </w:rPr>
        <w:t>（</w:t>
      </w:r>
      <w:r>
        <w:rPr>
          <w:spacing w:val="2"/>
          <w:w w:val="99"/>
        </w:rPr>
        <w:t>项</w:t>
      </w:r>
      <w:r>
        <w:rPr>
          <w:spacing w:val="-159"/>
          <w:w w:val="99"/>
        </w:rPr>
        <w:t>）</w:t>
      </w:r>
      <w:r>
        <w:rPr>
          <w:rFonts w:ascii="宋体" w:eastAsia="宋体" w:hint="eastAsia"/>
          <w:b w:val="0"/>
          <w:w w:val="99"/>
        </w:rPr>
        <w:t>：</w:t>
      </w:r>
    </w:p>
    <w:p>
      <w:pPr>
        <w:pStyle w:val="BodyText"/>
        <w:spacing w:line="362" w:lineRule="auto" w:before="137"/>
        <w:ind w:left="1218" w:right="1374"/>
        <w:jc w:val="both"/>
        <w:rPr>
          <w:rFonts w:ascii="仿宋" w:eastAsia="仿宋" w:hint="eastAsia"/>
        </w:rPr>
      </w:pPr>
      <w:r>
        <w:rPr>
          <w:rFonts w:ascii="仿宋" w:eastAsia="仿宋" w:hint="eastAsia"/>
        </w:rPr>
        <w:t>指根据《国务院关于进一步深化城镇住房制度改革加快住房建设</w:t>
      </w:r>
      <w:r>
        <w:rPr>
          <w:rFonts w:ascii="仿宋" w:eastAsia="仿宋" w:hint="eastAsia"/>
          <w:spacing w:val="7"/>
        </w:rPr>
        <w:t>的通知》</w:t>
      </w:r>
      <w:r>
        <w:rPr>
          <w:rFonts w:ascii="仿宋" w:eastAsia="仿宋" w:hint="eastAsia"/>
          <w:spacing w:val="5"/>
        </w:rPr>
        <w:t>（</w:t>
      </w:r>
      <w:r>
        <w:rPr>
          <w:rFonts w:ascii="仿宋" w:eastAsia="仿宋" w:hint="eastAsia"/>
          <w:spacing w:val="7"/>
        </w:rPr>
        <w:t>国发〔</w:t>
      </w:r>
      <w:r>
        <w:rPr>
          <w:rFonts w:ascii="Times New Roman" w:eastAsia="Times New Roman"/>
        </w:rPr>
        <w:t>1998</w:t>
      </w:r>
      <w:r>
        <w:rPr>
          <w:rFonts w:ascii="仿宋" w:eastAsia="仿宋" w:hint="eastAsia"/>
          <w:spacing w:val="7"/>
        </w:rPr>
        <w:t>〕</w:t>
      </w:r>
      <w:r>
        <w:rPr>
          <w:rFonts w:ascii="Times New Roman" w:eastAsia="Times New Roman"/>
        </w:rPr>
        <w:t>23 </w:t>
      </w:r>
      <w:r>
        <w:rPr>
          <w:rFonts w:ascii="仿宋" w:eastAsia="仿宋" w:hint="eastAsia"/>
          <w:spacing w:val="7"/>
        </w:rPr>
        <w:t>号）</w:t>
      </w:r>
      <w:r>
        <w:rPr>
          <w:rFonts w:ascii="仿宋" w:eastAsia="仿宋" w:hint="eastAsia"/>
          <w:spacing w:val="-10"/>
        </w:rPr>
        <w:t>的规定，从 </w:t>
      </w:r>
      <w:r>
        <w:rPr>
          <w:rFonts w:ascii="Times New Roman" w:eastAsia="Times New Roman"/>
        </w:rPr>
        <w:t>1998</w:t>
      </w:r>
      <w:r>
        <w:rPr>
          <w:rFonts w:ascii="Times New Roman" w:eastAsia="Times New Roman"/>
          <w:spacing w:val="-1"/>
        </w:rPr>
        <w:t> </w:t>
      </w:r>
      <w:r>
        <w:rPr>
          <w:rFonts w:ascii="仿宋" w:eastAsia="仿宋" w:hint="eastAsia"/>
          <w:spacing w:val="5"/>
        </w:rPr>
        <w:t>年下半年停止</w:t>
      </w:r>
      <w:r>
        <w:rPr>
          <w:rFonts w:ascii="仿宋" w:eastAsia="仿宋" w:hint="eastAsia"/>
          <w:spacing w:val="-6"/>
        </w:rPr>
        <w:t>实物分房后，房价收入比超过 </w:t>
      </w:r>
      <w:r>
        <w:rPr>
          <w:rFonts w:ascii="Times New Roman" w:eastAsia="Times New Roman"/>
        </w:rPr>
        <w:t>4 </w:t>
      </w:r>
      <w:r>
        <w:rPr>
          <w:rFonts w:ascii="仿宋" w:eastAsia="仿宋" w:hint="eastAsia"/>
        </w:rPr>
        <w:t>倍以上地区对无房和住房未达标</w:t>
      </w:r>
    </w:p>
    <w:p>
      <w:pPr>
        <w:pStyle w:val="BodyText"/>
        <w:spacing w:before="2"/>
        <w:ind w:left="1218"/>
        <w:jc w:val="both"/>
        <w:rPr>
          <w:rFonts w:ascii="Times New Roman" w:eastAsia="Times New Roman"/>
        </w:rPr>
      </w:pPr>
      <w:r>
        <w:rPr>
          <w:rFonts w:ascii="仿宋" w:eastAsia="仿宋" w:hint="eastAsia"/>
          <w:spacing w:val="-5"/>
        </w:rPr>
        <w:t>职工发放的住房货币化改革补贴资金。中央行政事业单位从 </w:t>
      </w:r>
      <w:r>
        <w:rPr>
          <w:rFonts w:ascii="Times New Roman" w:eastAsia="Times New Roman"/>
        </w:rPr>
        <w:t>2000</w:t>
      </w:r>
    </w:p>
    <w:p>
      <w:pPr>
        <w:spacing w:after="0"/>
        <w:jc w:val="both"/>
        <w:rPr>
          <w:rFonts w:ascii="Times New Roman" w:eastAsia="Times New Roman"/>
        </w:rPr>
        <w:sectPr>
          <w:pgSz w:w="11910" w:h="16840"/>
          <w:pgMar w:header="0" w:footer="273" w:top="1540" w:bottom="460" w:left="200" w:right="80"/>
        </w:sectPr>
      </w:pPr>
    </w:p>
    <w:p>
      <w:pPr>
        <w:pStyle w:val="BodyText"/>
        <w:spacing w:line="362" w:lineRule="auto" w:before="35"/>
        <w:ind w:left="1218" w:right="1374"/>
        <w:jc w:val="both"/>
        <w:rPr>
          <w:rFonts w:ascii="仿宋" w:eastAsia="仿宋" w:hint="eastAsia"/>
        </w:rPr>
      </w:pPr>
      <w:r>
        <w:rPr>
          <w:rFonts w:ascii="仿宋" w:eastAsia="仿宋" w:hint="eastAsia"/>
          <w:spacing w:val="-12"/>
        </w:rPr>
        <w:t>年开始发放购房补贴资金，地方行政事业单位从 </w:t>
      </w:r>
      <w:r>
        <w:rPr>
          <w:rFonts w:ascii="Times New Roman" w:eastAsia="Times New Roman"/>
        </w:rPr>
        <w:t>1999 </w:t>
      </w:r>
      <w:r>
        <w:rPr>
          <w:rFonts w:ascii="仿宋" w:eastAsia="仿宋" w:hint="eastAsia"/>
        </w:rPr>
        <w:t>年陆续开始发放购房补贴资金，企业根据本单位情况自行确定。在京中央单</w:t>
      </w:r>
      <w:r>
        <w:rPr>
          <w:rFonts w:ascii="仿宋" w:eastAsia="仿宋" w:hint="eastAsia"/>
          <w:spacing w:val="-10"/>
        </w:rPr>
        <w:t>位按照《中共中央办公厅 国务院办公厅转发建设部等单位〈关于</w:t>
      </w:r>
      <w:r>
        <w:rPr>
          <w:rFonts w:ascii="仿宋" w:eastAsia="仿宋" w:hint="eastAsia"/>
        </w:rPr>
        <w:t>完善在京中央和国家机关住房制度的若干意见〉的通知》规定的标准执行，京外中央单位按照所在地人民政府住房分配货币化改革的政策规定和标准执行。</w:t>
      </w:r>
    </w:p>
    <w:p>
      <w:pPr>
        <w:pStyle w:val="Heading3"/>
        <w:spacing w:before="56"/>
        <w:rPr>
          <w:rFonts w:ascii="宋体" w:eastAsia="宋体" w:hint="eastAsia"/>
          <w:b w:val="0"/>
        </w:rPr>
      </w:pPr>
      <w:r>
        <w:rPr>
          <w:spacing w:val="2"/>
          <w:w w:val="99"/>
        </w:rPr>
        <w:t>（八</w:t>
      </w:r>
      <w:r>
        <w:rPr>
          <w:spacing w:val="-99"/>
          <w:w w:val="99"/>
        </w:rPr>
        <w:t>）</w:t>
      </w:r>
      <w:r>
        <w:rPr>
          <w:spacing w:val="-15"/>
          <w:w w:val="99"/>
        </w:rPr>
        <w:t>住房保障支出</w:t>
      </w:r>
      <w:r>
        <w:rPr>
          <w:w w:val="99"/>
        </w:rPr>
        <w:t>（</w:t>
      </w:r>
      <w:r>
        <w:rPr>
          <w:spacing w:val="2"/>
          <w:w w:val="99"/>
        </w:rPr>
        <w:t>类</w:t>
      </w:r>
      <w:r>
        <w:rPr>
          <w:spacing w:val="-96"/>
          <w:w w:val="99"/>
        </w:rPr>
        <w:t>）</w:t>
      </w:r>
      <w:r>
        <w:rPr>
          <w:spacing w:val="-15"/>
          <w:w w:val="99"/>
        </w:rPr>
        <w:t>住房改革支出</w:t>
      </w:r>
      <w:r>
        <w:rPr>
          <w:spacing w:val="2"/>
          <w:w w:val="99"/>
        </w:rPr>
        <w:t>（款</w:t>
      </w:r>
      <w:r>
        <w:rPr>
          <w:spacing w:val="-99"/>
          <w:w w:val="99"/>
        </w:rPr>
        <w:t>）</w:t>
      </w:r>
      <w:r>
        <w:rPr>
          <w:spacing w:val="-23"/>
          <w:w w:val="99"/>
        </w:rPr>
        <w:t>提租补贴</w:t>
      </w:r>
      <w:r>
        <w:rPr>
          <w:w w:val="99"/>
        </w:rPr>
        <w:t>（</w:t>
      </w:r>
      <w:r>
        <w:rPr>
          <w:spacing w:val="2"/>
          <w:w w:val="99"/>
        </w:rPr>
        <w:t>项</w:t>
      </w:r>
      <w:r>
        <w:rPr>
          <w:spacing w:val="-159"/>
          <w:w w:val="99"/>
        </w:rPr>
        <w:t>）</w:t>
      </w:r>
      <w:r>
        <w:rPr>
          <w:rFonts w:ascii="宋体" w:eastAsia="宋体" w:hint="eastAsia"/>
          <w:b w:val="0"/>
          <w:w w:val="99"/>
        </w:rPr>
        <w:t>：</w:t>
      </w:r>
    </w:p>
    <w:p>
      <w:pPr>
        <w:pStyle w:val="BodyText"/>
        <w:spacing w:line="362" w:lineRule="auto" w:before="139"/>
        <w:ind w:left="1218" w:right="1374"/>
        <w:jc w:val="both"/>
        <w:rPr>
          <w:rFonts w:ascii="仿宋" w:eastAsia="仿宋" w:hint="eastAsia"/>
        </w:rPr>
      </w:pPr>
      <w:r>
        <w:rPr>
          <w:rFonts w:ascii="仿宋" w:eastAsia="仿宋" w:hint="eastAsia"/>
          <w:spacing w:val="-19"/>
        </w:rPr>
        <w:t>指经国务院批准，于 </w:t>
      </w:r>
      <w:r>
        <w:rPr>
          <w:rFonts w:ascii="Times New Roman" w:eastAsia="Times New Roman"/>
        </w:rPr>
        <w:t>2000 </w:t>
      </w:r>
      <w:r>
        <w:rPr>
          <w:rFonts w:ascii="仿宋" w:eastAsia="仿宋" w:hint="eastAsia"/>
        </w:rPr>
        <w:t>年开始针对在京中央单位公有住房租金标准提高发放的补贴，中央在京单位按照在编职工人数和离退休</w:t>
      </w:r>
      <w:r>
        <w:rPr>
          <w:rFonts w:ascii="仿宋" w:eastAsia="仿宋" w:hint="eastAsia"/>
          <w:spacing w:val="-4"/>
        </w:rPr>
        <w:t>人数以及相应职级的补贴标准确定，人均月补贴 </w:t>
      </w:r>
      <w:r>
        <w:rPr>
          <w:rFonts w:ascii="Times New Roman" w:eastAsia="Times New Roman"/>
        </w:rPr>
        <w:t>90 </w:t>
      </w:r>
      <w:r>
        <w:rPr>
          <w:rFonts w:ascii="仿宋" w:eastAsia="仿宋" w:hint="eastAsia"/>
        </w:rPr>
        <w:t>元。</w:t>
      </w:r>
    </w:p>
    <w:p>
      <w:pPr>
        <w:spacing w:line="307" w:lineRule="auto" w:before="51"/>
        <w:ind w:left="1218" w:right="1377" w:firstLine="638"/>
        <w:jc w:val="both"/>
        <w:rPr>
          <w:sz w:val="32"/>
        </w:rPr>
      </w:pPr>
      <w:r>
        <w:rPr>
          <w:rFonts w:ascii="Microsoft JhengHei" w:eastAsia="Microsoft JhengHei" w:hint="eastAsia"/>
          <w:b/>
          <w:sz w:val="32"/>
        </w:rPr>
        <w:t>（九）灾害防治及应急管理支出（类）消防事务（款）行政运行（项）</w:t>
      </w:r>
      <w:r>
        <w:rPr>
          <w:sz w:val="32"/>
        </w:rPr>
        <w:t>：指新疆消防救援总队及所属消防救援队伍用于保障机构正常运行、开展日常工作的基本支出。</w:t>
      </w:r>
    </w:p>
    <w:p>
      <w:pPr>
        <w:spacing w:line="273" w:lineRule="auto" w:before="141"/>
        <w:ind w:left="1218" w:right="1372" w:firstLine="638"/>
        <w:jc w:val="both"/>
        <w:rPr>
          <w:sz w:val="32"/>
        </w:rPr>
      </w:pPr>
      <w:r>
        <w:rPr>
          <w:rFonts w:ascii="Microsoft JhengHei" w:eastAsia="Microsoft JhengHei" w:hint="eastAsia"/>
          <w:b/>
          <w:sz w:val="32"/>
        </w:rPr>
        <w:t>（十）灾害防治及应急管理支出（类）消防事务（款）消防应急救援（项）</w:t>
      </w:r>
      <w:r>
        <w:rPr>
          <w:sz w:val="32"/>
        </w:rPr>
        <w:t>：指新疆消防救援总队开展消防应急救援方面的支出。</w:t>
      </w:r>
    </w:p>
    <w:p>
      <w:pPr>
        <w:spacing w:line="273" w:lineRule="auto" w:before="50"/>
        <w:ind w:left="1218" w:right="1372" w:firstLine="638"/>
        <w:jc w:val="both"/>
        <w:rPr>
          <w:sz w:val="32"/>
        </w:rPr>
      </w:pPr>
      <w:r>
        <w:rPr>
          <w:rFonts w:ascii="Microsoft JhengHei" w:eastAsia="Microsoft JhengHei" w:hint="eastAsia"/>
          <w:b/>
          <w:sz w:val="32"/>
        </w:rPr>
        <w:t>（十一）灾害防治及应急管理支出（类）消防事务（款）其他消防事务支出（项）</w:t>
      </w:r>
      <w:r>
        <w:rPr>
          <w:sz w:val="32"/>
        </w:rPr>
        <w:t>：指新疆消防救援总队部门机动费项目支出及消防产品合格评定中心的各项支出。</w:t>
      </w:r>
    </w:p>
    <w:p>
      <w:pPr>
        <w:spacing w:after="0" w:line="273" w:lineRule="auto"/>
        <w:jc w:val="both"/>
        <w:rPr>
          <w:sz w:val="32"/>
        </w:rPr>
        <w:sectPr>
          <w:pgSz w:w="11910" w:h="16840"/>
          <w:pgMar w:header="0" w:footer="273" w:top="1540" w:bottom="460" w:left="200" w:right="80"/>
        </w:sectPr>
      </w:pPr>
    </w:p>
    <w:p>
      <w:pPr>
        <w:spacing w:line="519" w:lineRule="exact" w:before="0"/>
        <w:ind w:left="1856" w:right="0" w:firstLine="0"/>
        <w:jc w:val="left"/>
        <w:rPr>
          <w:sz w:val="32"/>
        </w:rPr>
      </w:pPr>
      <w:r>
        <w:rPr>
          <w:rFonts w:ascii="Microsoft JhengHei" w:eastAsia="Microsoft JhengHei" w:hint="eastAsia"/>
          <w:b/>
          <w:sz w:val="32"/>
        </w:rPr>
        <w:t>（十二）结转下年：</w:t>
      </w:r>
      <w:r>
        <w:rPr>
          <w:sz w:val="32"/>
        </w:rPr>
        <w:t>指以前年度预算安排、因客观条件发生</w:t>
      </w:r>
    </w:p>
    <w:p>
      <w:pPr>
        <w:pStyle w:val="BodyText"/>
        <w:spacing w:line="364" w:lineRule="auto" w:before="136"/>
        <w:ind w:left="1218" w:right="1374"/>
      </w:pPr>
      <w:r>
        <w:rPr/>
        <w:t>变化无法按原计划实施，需延迟到以后年度按原规定用途继续使用的资金。</w:t>
      </w:r>
    </w:p>
    <w:p>
      <w:pPr>
        <w:spacing w:line="477" w:lineRule="exact" w:before="0"/>
        <w:ind w:left="1856" w:right="0" w:firstLine="0"/>
        <w:jc w:val="left"/>
        <w:rPr>
          <w:sz w:val="32"/>
        </w:rPr>
      </w:pPr>
      <w:r>
        <w:rPr>
          <w:rFonts w:ascii="Microsoft JhengHei" w:eastAsia="Microsoft JhengHei" w:hint="eastAsia"/>
          <w:b/>
          <w:sz w:val="32"/>
        </w:rPr>
        <w:t>（十三）基本支出：</w:t>
      </w:r>
      <w:r>
        <w:rPr>
          <w:sz w:val="32"/>
        </w:rPr>
        <w:t>指为保障机构正常运转、完成日常工作</w:t>
      </w:r>
    </w:p>
    <w:p>
      <w:pPr>
        <w:pStyle w:val="BodyText"/>
        <w:spacing w:before="136"/>
        <w:ind w:left="1218"/>
      </w:pPr>
      <w:r>
        <w:rPr/>
        <w:t>任务而发生的人员支出和公用支出。</w:t>
      </w:r>
    </w:p>
    <w:p>
      <w:pPr>
        <w:spacing w:line="295" w:lineRule="auto" w:before="106"/>
        <w:ind w:left="1218" w:right="1374" w:firstLine="638"/>
        <w:jc w:val="left"/>
        <w:rPr>
          <w:sz w:val="32"/>
        </w:rPr>
      </w:pPr>
      <w:r>
        <w:rPr>
          <w:rFonts w:ascii="Microsoft JhengHei" w:eastAsia="Microsoft JhengHei" w:hint="eastAsia"/>
          <w:b/>
          <w:sz w:val="32"/>
        </w:rPr>
        <w:t>（十四）项目支出：</w:t>
      </w:r>
      <w:r>
        <w:rPr>
          <w:sz w:val="32"/>
        </w:rPr>
        <w:t>指在基本支出之外为完成特定行政任务和事业发展目标所发生的支出。</w:t>
      </w:r>
    </w:p>
    <w:p>
      <w:pPr>
        <w:spacing w:before="11"/>
        <w:ind w:left="1856" w:right="0" w:firstLine="0"/>
        <w:jc w:val="left"/>
        <w:rPr>
          <w:sz w:val="32"/>
        </w:rPr>
      </w:pPr>
      <w:r>
        <w:rPr>
          <w:rFonts w:ascii="Microsoft JhengHei" w:eastAsia="Microsoft JhengHei" w:hint="eastAsia"/>
          <w:b/>
          <w:sz w:val="32"/>
        </w:rPr>
        <w:t>（十五）上缴上级支出：</w:t>
      </w:r>
      <w:r>
        <w:rPr>
          <w:sz w:val="32"/>
        </w:rPr>
        <w:t>指附属单位上缴上级的支出。</w:t>
      </w:r>
    </w:p>
    <w:p>
      <w:pPr>
        <w:spacing w:line="295" w:lineRule="auto" w:before="33"/>
        <w:ind w:left="1218" w:right="1372" w:firstLine="638"/>
        <w:jc w:val="left"/>
        <w:rPr>
          <w:sz w:val="32"/>
        </w:rPr>
      </w:pPr>
      <w:r>
        <w:rPr>
          <w:rFonts w:ascii="Microsoft JhengHei" w:eastAsia="Microsoft JhengHei" w:hint="eastAsia"/>
          <w:b/>
          <w:sz w:val="32"/>
        </w:rPr>
        <w:t>（十六）事业单位经营支出：</w:t>
      </w:r>
      <w:r>
        <w:rPr>
          <w:sz w:val="32"/>
        </w:rPr>
        <w:t>指事业单位在专业业务活动及其辅助活动之外开展非独立核算经营活动发生的支出。</w:t>
      </w:r>
    </w:p>
    <w:p>
      <w:pPr>
        <w:spacing w:before="10"/>
        <w:ind w:left="1856" w:right="0" w:firstLine="0"/>
        <w:jc w:val="left"/>
        <w:rPr>
          <w:sz w:val="32"/>
        </w:rPr>
      </w:pPr>
      <w:r>
        <w:rPr>
          <w:rFonts w:ascii="Microsoft JhengHei" w:eastAsia="Microsoft JhengHei" w:hint="eastAsia"/>
          <w:b/>
          <w:sz w:val="32"/>
        </w:rPr>
        <w:t>（十七）对下级单位补助支出：</w:t>
      </w:r>
      <w:r>
        <w:rPr>
          <w:sz w:val="32"/>
        </w:rPr>
        <w:t>指对所属单位补助发生的支</w:t>
      </w:r>
    </w:p>
    <w:p>
      <w:pPr>
        <w:pStyle w:val="BodyText"/>
        <w:spacing w:before="139"/>
        <w:ind w:right="8549"/>
        <w:jc w:val="center"/>
      </w:pPr>
      <w:r>
        <w:rPr/>
        <w:t>出。</w:t>
      </w:r>
    </w:p>
    <w:p>
      <w:pPr>
        <w:spacing w:before="104"/>
        <w:ind w:left="1797" w:right="1317" w:firstLine="0"/>
        <w:jc w:val="center"/>
        <w:rPr>
          <w:sz w:val="32"/>
        </w:rPr>
      </w:pPr>
      <w:r>
        <w:rPr>
          <w:rFonts w:ascii="Microsoft JhengHei" w:hAnsi="Microsoft JhengHei" w:eastAsia="Microsoft JhengHei" w:hint="eastAsia"/>
          <w:b/>
          <w:sz w:val="32"/>
        </w:rPr>
        <w:t>（十八）</w:t>
      </w:r>
      <w:r>
        <w:rPr>
          <w:rFonts w:ascii="Times New Roman" w:hAnsi="Times New Roman" w:eastAsia="Times New Roman"/>
          <w:b/>
          <w:sz w:val="32"/>
        </w:rPr>
        <w:t>“</w:t>
      </w:r>
      <w:r>
        <w:rPr>
          <w:rFonts w:ascii="Microsoft JhengHei" w:hAnsi="Microsoft JhengHei" w:eastAsia="Microsoft JhengHei" w:hint="eastAsia"/>
          <w:b/>
          <w:sz w:val="32"/>
        </w:rPr>
        <w:t>三公</w:t>
      </w:r>
      <w:r>
        <w:rPr>
          <w:rFonts w:ascii="Times New Roman" w:hAnsi="Times New Roman" w:eastAsia="Times New Roman"/>
          <w:b/>
          <w:sz w:val="32"/>
        </w:rPr>
        <w:t>”</w:t>
      </w:r>
      <w:r>
        <w:rPr>
          <w:rFonts w:ascii="Microsoft JhengHei" w:hAnsi="Microsoft JhengHei" w:eastAsia="Microsoft JhengHei" w:hint="eastAsia"/>
          <w:b/>
          <w:sz w:val="32"/>
        </w:rPr>
        <w:t>经费：</w:t>
      </w:r>
      <w:r>
        <w:rPr>
          <w:sz w:val="32"/>
        </w:rPr>
        <w:t>纳入中央财政预决算管理的</w:t>
      </w:r>
      <w:r>
        <w:rPr>
          <w:rFonts w:ascii="Times New Roman" w:hAnsi="Times New Roman" w:eastAsia="Times New Roman"/>
          <w:sz w:val="32"/>
        </w:rPr>
        <w:t>“</w:t>
      </w:r>
      <w:r>
        <w:rPr>
          <w:sz w:val="32"/>
        </w:rPr>
        <w:t>三公</w:t>
      </w:r>
      <w:r>
        <w:rPr>
          <w:rFonts w:ascii="Times New Roman" w:hAnsi="Times New Roman" w:eastAsia="Times New Roman"/>
          <w:sz w:val="32"/>
        </w:rPr>
        <w:t>”</w:t>
      </w:r>
      <w:r>
        <w:rPr>
          <w:sz w:val="32"/>
        </w:rPr>
        <w:t>经</w:t>
      </w:r>
    </w:p>
    <w:p>
      <w:pPr>
        <w:pStyle w:val="BodyText"/>
        <w:spacing w:line="362" w:lineRule="auto" w:before="136"/>
        <w:ind w:left="1218" w:right="1374"/>
        <w:jc w:val="both"/>
      </w:pPr>
      <w:r>
        <w:rPr/>
        <w:t>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491" w:lineRule="exact" w:before="0"/>
        <w:ind w:left="0" w:right="1372" w:firstLine="0"/>
        <w:jc w:val="right"/>
        <w:rPr>
          <w:sz w:val="32"/>
        </w:rPr>
      </w:pPr>
      <w:r>
        <w:rPr>
          <w:rFonts w:ascii="Microsoft JhengHei" w:eastAsia="Microsoft JhengHei" w:hint="eastAsia"/>
          <w:b/>
          <w:spacing w:val="5"/>
          <w:w w:val="95"/>
          <w:sz w:val="32"/>
        </w:rPr>
        <w:t>（十九）</w:t>
      </w:r>
      <w:r>
        <w:rPr>
          <w:rFonts w:ascii="Microsoft JhengHei" w:eastAsia="Microsoft JhengHei" w:hint="eastAsia"/>
          <w:b/>
          <w:spacing w:val="3"/>
          <w:w w:val="95"/>
          <w:sz w:val="32"/>
        </w:rPr>
        <w:t>机关运行经费：</w:t>
      </w:r>
      <w:r>
        <w:rPr>
          <w:w w:val="95"/>
          <w:sz w:val="32"/>
        </w:rPr>
        <w:t>为保障行政单位</w:t>
      </w:r>
      <w:r>
        <w:rPr>
          <w:spacing w:val="5"/>
          <w:w w:val="95"/>
          <w:sz w:val="32"/>
        </w:rPr>
        <w:t>（</w:t>
      </w:r>
      <w:r>
        <w:rPr>
          <w:w w:val="95"/>
          <w:sz w:val="32"/>
        </w:rPr>
        <w:t>包括参照公务员</w:t>
      </w:r>
    </w:p>
    <w:p>
      <w:pPr>
        <w:pStyle w:val="BodyText"/>
        <w:spacing w:before="136"/>
        <w:ind w:right="1374"/>
        <w:jc w:val="right"/>
      </w:pPr>
      <w:r>
        <w:rPr/>
        <w:t>法管理事业单位）运行用于购买货物和服务的各项资金，包括办</w:t>
      </w:r>
    </w:p>
    <w:p>
      <w:pPr>
        <w:spacing w:after="0"/>
        <w:jc w:val="right"/>
        <w:sectPr>
          <w:pgSz w:w="11910" w:h="16840"/>
          <w:pgMar w:header="0" w:footer="273" w:top="1540" w:bottom="460" w:left="200" w:right="80"/>
        </w:sectPr>
      </w:pPr>
    </w:p>
    <w:p>
      <w:pPr>
        <w:pStyle w:val="BodyText"/>
        <w:spacing w:line="362" w:lineRule="auto" w:before="35"/>
        <w:ind w:left="1218" w:right="1216"/>
      </w:pPr>
      <w:r>
        <w:rPr/>
        <w:t>公及印刷费、邮电费、差旅费、会议费、福利费、日常维修费、</w:t>
      </w:r>
      <w:r>
        <w:rPr>
          <w:spacing w:val="-6"/>
          <w:w w:val="95"/>
        </w:rPr>
        <w:t>专用材料及一般设备购置费、办公用房水电费、办公用房取暖费、 </w:t>
      </w:r>
      <w:r>
        <w:rPr>
          <w:spacing w:val="-6"/>
        </w:rPr>
        <w:t>办公用房物业管理费、公务用车运行维护费以及其他费用。</w:t>
      </w:r>
    </w:p>
    <w:p>
      <w:pPr>
        <w:spacing w:after="0" w:line="362" w:lineRule="auto"/>
        <w:sectPr>
          <w:pgSz w:w="11910" w:h="16840"/>
          <w:pgMar w:header="0" w:footer="273" w:top="1540" w:bottom="460" w:left="200" w:right="80"/>
        </w:sectPr>
      </w:pPr>
    </w:p>
    <w:p>
      <w:pPr>
        <w:pStyle w:val="BodyText"/>
        <w:rPr>
          <w:sz w:val="20"/>
        </w:rPr>
      </w:pPr>
      <w:r>
        <w:rPr/>
        <w:pict>
          <v:group style="position:absolute;margin-left:0pt;margin-top:.000049pt;width:585.450pt;height:841.9pt;mso-position-horizontal-relative:page;mso-position-vertical-relative:page;z-index:-255035392" coordorigin="0,0" coordsize="11709,16838">
            <v:line style="position:absolute" from="6405,0" to="6405,7231" stroked="true" strokeweight="3.693715pt" strokecolor="#cccc00">
              <v:stroke dashstyle="solid"/>
            </v:line>
            <v:line style="position:absolute" from="6287,0" to="6287,7231" stroked="true" strokeweight="1.521476pt" strokecolor="#cccc00">
              <v:stroke dashstyle="solid"/>
            </v:line>
            <v:line style="position:absolute" from="6525,0" to="6525,7231" stroked="true" strokeweight="3.938583pt" strokecolor="#cccc00">
              <v:stroke dashstyle="solid"/>
            </v:line>
            <v:line style="position:absolute" from="6405,10819" to="6405,16838" stroked="true" strokeweight="3.693715pt" strokecolor="#cccc00">
              <v:stroke dashstyle="solid"/>
            </v:line>
            <v:line style="position:absolute" from="6287,10819" to="6287,16838" stroked="true" strokeweight="1.521476pt" strokecolor="#cccc00">
              <v:stroke dashstyle="solid"/>
            </v:line>
            <v:line style="position:absolute" from="6525,10819" to="6525,16838" stroked="true" strokeweight="3.938583pt" strokecolor="#cccc00">
              <v:stroke dashstyle="solid"/>
            </v:line>
            <v:rect style="position:absolute;left:0;top:7231;width:11700;height:3588" filled="true" fillcolor="#cc99ff" stroked="false">
              <v:fill type="solid"/>
            </v:rect>
            <v:shape style="position:absolute;left:0;top:7224;width:11709;height:3603" coordorigin="0,7225" coordsize="11709,3603" path="m11694,7240l0,7240,0,7225,11709,7225,11709,7232,11694,7232,11694,7240xm11694,10820l11694,7232,11701,7240,11709,7240,11709,10813,11701,10813,11694,10820xm11709,7240l11701,7240,11694,7232,11709,7232,11709,7240xm11709,10828l0,10828,0,10813,11694,10813,11694,10820,11709,10820,11709,10828xm11709,10820l11694,10820,11701,10813,11709,10813,11709,10820xe" filled="true" fillcolor="#000000" stroked="false">
              <v:path arrowok="t"/>
              <v:fill type="solid"/>
            </v:shape>
            <w10:wrap type="none"/>
          </v:group>
        </w:pict>
      </w:r>
      <w:r>
        <w:rPr/>
        <w:pict>
          <v:shape style="position:absolute;margin-left:334.350006pt;margin-top:.000049pt;width:251.45pt;height:842.3pt;mso-position-horizontal-relative:page;mso-position-vertical-relative:page;z-index:251671552" type="#_x0000_t202" filled="false" stroked="false">
            <v:textbox inset="0,0,0,0">
              <w:txbxContent>
                <w:tbl>
                  <w:tblPr>
                    <w:tblW w:w="0" w:type="auto"/>
                    <w:jc w:val="left"/>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000"/>
                  </w:tblGrid>
                  <w:tr>
                    <w:trPr>
                      <w:trHeight w:val="7231" w:hRule="atLeast"/>
                    </w:trPr>
                    <w:tc>
                      <w:tcPr>
                        <w:tcW w:w="5000" w:type="dxa"/>
                        <w:tcBorders>
                          <w:left w:val="single" w:sz="12" w:space="0" w:color="CCCC00"/>
                          <w:right w:val="single" w:sz="6" w:space="0" w:color="000000"/>
                        </w:tcBorders>
                        <w:shd w:val="clear" w:color="auto" w:fill="CCFFCC"/>
                      </w:tcPr>
                      <w:p>
                        <w:pPr>
                          <w:pStyle w:val="TableParagraph"/>
                          <w:rPr>
                            <w:rFonts w:ascii="Times New Roman"/>
                            <w:sz w:val="42"/>
                          </w:rPr>
                        </w:pPr>
                      </w:p>
                    </w:tc>
                  </w:tr>
                  <w:tr>
                    <w:trPr>
                      <w:trHeight w:val="3587" w:hRule="atLeast"/>
                    </w:trPr>
                    <w:tc>
                      <w:tcPr>
                        <w:tcW w:w="5000" w:type="dxa"/>
                        <w:tcBorders>
                          <w:right w:val="single" w:sz="6" w:space="0" w:color="000000"/>
                        </w:tcBorders>
                        <w:shd w:val="clear" w:color="auto" w:fill="CC99FF"/>
                      </w:tcPr>
                      <w:p>
                        <w:pPr>
                          <w:pStyle w:val="TableParagraph"/>
                          <w:rPr>
                            <w:rFonts w:ascii="Times New Roman"/>
                            <w:sz w:val="42"/>
                          </w:rPr>
                        </w:pPr>
                      </w:p>
                    </w:tc>
                  </w:tr>
                  <w:tr>
                    <w:trPr>
                      <w:trHeight w:val="6018" w:hRule="atLeast"/>
                    </w:trPr>
                    <w:tc>
                      <w:tcPr>
                        <w:tcW w:w="5000" w:type="dxa"/>
                        <w:tcBorders>
                          <w:left w:val="single" w:sz="12" w:space="0" w:color="CCCC00"/>
                          <w:right w:val="single" w:sz="6" w:space="0" w:color="000000"/>
                        </w:tcBorders>
                        <w:shd w:val="clear" w:color="auto" w:fill="CCFFCC"/>
                      </w:tcPr>
                      <w:p>
                        <w:pPr>
                          <w:pStyle w:val="TableParagraph"/>
                          <w:rPr>
                            <w:rFonts w:ascii="Times New Roman"/>
                            <w:sz w:val="42"/>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7"/>
        </w:rPr>
      </w:pPr>
    </w:p>
    <w:p>
      <w:pPr>
        <w:pStyle w:val="Heading1"/>
        <w:spacing w:before="27"/>
        <w:ind w:left="812"/>
      </w:pPr>
      <w:r>
        <w:rPr>
          <w:color w:val="FFFFFF"/>
        </w:rPr>
        <w:t>第五部分</w:t>
      </w:r>
    </w:p>
    <w:p>
      <w:pPr>
        <w:spacing w:before="270"/>
        <w:ind w:left="1600" w:right="0" w:firstLine="0"/>
        <w:jc w:val="left"/>
        <w:rPr>
          <w:rFonts w:ascii="黑体" w:eastAsia="黑体" w:hint="eastAsia"/>
          <w:b/>
          <w:sz w:val="52"/>
        </w:rPr>
      </w:pPr>
      <w:r>
        <w:rPr>
          <w:rFonts w:ascii="黑体" w:eastAsia="黑体" w:hint="eastAsia"/>
          <w:b/>
          <w:color w:val="FFFFFF"/>
          <w:sz w:val="52"/>
        </w:rPr>
        <w:t>附件</w:t>
      </w:r>
    </w:p>
    <w:p>
      <w:pPr>
        <w:spacing w:after="0"/>
        <w:jc w:val="left"/>
        <w:rPr>
          <w:rFonts w:ascii="黑体" w:eastAsia="黑体" w:hint="eastAsia"/>
          <w:sz w:val="52"/>
        </w:rPr>
        <w:sectPr>
          <w:pgSz w:w="11910" w:h="16840"/>
          <w:pgMar w:header="0" w:footer="273" w:top="0" w:bottom="460" w:left="200" w:right="80"/>
        </w:sectPr>
      </w:pPr>
    </w:p>
    <w:p>
      <w:pPr>
        <w:pStyle w:val="BodyText"/>
        <w:spacing w:before="41"/>
        <w:ind w:left="1797" w:right="1274"/>
        <w:jc w:val="center"/>
        <w:rPr>
          <w:rFonts w:ascii="黑体" w:eastAsia="黑体" w:hint="eastAsia"/>
        </w:rPr>
      </w:pPr>
      <w:r>
        <w:rPr>
          <w:rFonts w:ascii="黑体" w:eastAsia="黑体" w:hint="eastAsia"/>
        </w:rPr>
        <w:t>喀什市消防救援大队项目绩效目标表</w:t>
      </w:r>
    </w:p>
    <w:p>
      <w:pPr>
        <w:spacing w:before="164"/>
        <w:ind w:left="1739" w:right="1374" w:firstLine="0"/>
        <w:jc w:val="center"/>
        <w:rPr>
          <w:sz w:val="24"/>
        </w:rPr>
      </w:pPr>
      <w:r>
        <w:rPr>
          <w:sz w:val="24"/>
        </w:rPr>
        <w:t>（2023 年度）</w:t>
      </w:r>
    </w:p>
    <w:p>
      <w:pPr>
        <w:pStyle w:val="BodyText"/>
        <w:spacing w:before="9"/>
        <w:rPr>
          <w:sz w:val="14"/>
        </w:r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9"/>
        <w:gridCol w:w="1205"/>
        <w:gridCol w:w="2137"/>
        <w:gridCol w:w="1350"/>
        <w:gridCol w:w="939"/>
        <w:gridCol w:w="2148"/>
        <w:gridCol w:w="1247"/>
      </w:tblGrid>
      <w:tr>
        <w:trPr>
          <w:trHeight w:val="454" w:hRule="atLeast"/>
        </w:trPr>
        <w:tc>
          <w:tcPr>
            <w:tcW w:w="1764" w:type="dxa"/>
            <w:gridSpan w:val="2"/>
          </w:tcPr>
          <w:p>
            <w:pPr>
              <w:pStyle w:val="TableParagraph"/>
              <w:spacing w:before="93"/>
              <w:ind w:left="442"/>
              <w:rPr>
                <w:sz w:val="22"/>
              </w:rPr>
            </w:pPr>
            <w:r>
              <w:rPr>
                <w:sz w:val="22"/>
              </w:rPr>
              <w:t>项目名称</w:t>
            </w:r>
          </w:p>
        </w:tc>
        <w:tc>
          <w:tcPr>
            <w:tcW w:w="7821" w:type="dxa"/>
            <w:gridSpan w:val="5"/>
          </w:tcPr>
          <w:p>
            <w:pPr>
              <w:pStyle w:val="TableParagraph"/>
              <w:spacing w:before="93"/>
              <w:ind w:left="2129" w:right="2122"/>
              <w:jc w:val="center"/>
              <w:rPr>
                <w:sz w:val="22"/>
              </w:rPr>
            </w:pPr>
            <w:r>
              <w:rPr>
                <w:sz w:val="22"/>
              </w:rPr>
              <w:t>喀什市消防救援大队项目绩效目标表</w:t>
            </w:r>
          </w:p>
        </w:tc>
      </w:tr>
      <w:tr>
        <w:trPr>
          <w:trHeight w:val="555" w:hRule="atLeast"/>
        </w:trPr>
        <w:tc>
          <w:tcPr>
            <w:tcW w:w="1764" w:type="dxa"/>
            <w:gridSpan w:val="2"/>
          </w:tcPr>
          <w:p>
            <w:pPr>
              <w:pStyle w:val="TableParagraph"/>
              <w:spacing w:before="145"/>
              <w:ind w:left="111"/>
              <w:rPr>
                <w:sz w:val="22"/>
              </w:rPr>
            </w:pPr>
            <w:r>
              <w:rPr>
                <w:sz w:val="22"/>
              </w:rPr>
              <w:t>主管部门及代码</w:t>
            </w:r>
          </w:p>
        </w:tc>
        <w:tc>
          <w:tcPr>
            <w:tcW w:w="3487" w:type="dxa"/>
            <w:gridSpan w:val="2"/>
          </w:tcPr>
          <w:p>
            <w:pPr>
              <w:pStyle w:val="TableParagraph"/>
              <w:spacing w:before="145"/>
              <w:ind w:left="15"/>
              <w:rPr>
                <w:sz w:val="22"/>
              </w:rPr>
            </w:pPr>
            <w:r>
              <w:rPr>
                <w:sz w:val="22"/>
              </w:rPr>
              <w:t>喀什市消防救援大队 225032031002</w:t>
            </w:r>
          </w:p>
        </w:tc>
        <w:tc>
          <w:tcPr>
            <w:tcW w:w="939" w:type="dxa"/>
          </w:tcPr>
          <w:p>
            <w:pPr>
              <w:pStyle w:val="TableParagraph"/>
              <w:spacing w:before="145"/>
              <w:ind w:left="29"/>
              <w:rPr>
                <w:sz w:val="22"/>
              </w:rPr>
            </w:pPr>
            <w:r>
              <w:rPr>
                <w:sz w:val="22"/>
              </w:rPr>
              <w:t>实施单位</w:t>
            </w:r>
          </w:p>
        </w:tc>
        <w:tc>
          <w:tcPr>
            <w:tcW w:w="3395" w:type="dxa"/>
            <w:gridSpan w:val="2"/>
          </w:tcPr>
          <w:p>
            <w:pPr>
              <w:pStyle w:val="TableParagraph"/>
              <w:spacing w:before="145"/>
              <w:ind w:left="705"/>
              <w:rPr>
                <w:sz w:val="22"/>
              </w:rPr>
            </w:pPr>
            <w:r>
              <w:rPr>
                <w:sz w:val="22"/>
              </w:rPr>
              <w:t>喀什市消防救援大队</w:t>
            </w:r>
          </w:p>
        </w:tc>
      </w:tr>
      <w:tr>
        <w:trPr>
          <w:trHeight w:val="454" w:hRule="atLeast"/>
        </w:trPr>
        <w:tc>
          <w:tcPr>
            <w:tcW w:w="1764" w:type="dxa"/>
            <w:gridSpan w:val="2"/>
            <w:vMerge w:val="restart"/>
          </w:tcPr>
          <w:p>
            <w:pPr>
              <w:pStyle w:val="TableParagraph"/>
              <w:rPr>
                <w:sz w:val="22"/>
              </w:rPr>
            </w:pPr>
          </w:p>
          <w:p>
            <w:pPr>
              <w:pStyle w:val="TableParagraph"/>
              <w:spacing w:before="6"/>
              <w:rPr>
                <w:sz w:val="27"/>
              </w:rPr>
            </w:pPr>
          </w:p>
          <w:p>
            <w:pPr>
              <w:pStyle w:val="TableParagraph"/>
              <w:ind w:left="442"/>
              <w:rPr>
                <w:sz w:val="22"/>
              </w:rPr>
            </w:pPr>
            <w:r>
              <w:rPr>
                <w:spacing w:val="-2"/>
                <w:sz w:val="22"/>
              </w:rPr>
              <w:t>项目资金</w:t>
            </w:r>
          </w:p>
          <w:p>
            <w:pPr>
              <w:pStyle w:val="TableParagraph"/>
              <w:spacing w:before="30"/>
              <w:ind w:left="442"/>
              <w:rPr>
                <w:sz w:val="22"/>
              </w:rPr>
            </w:pPr>
            <w:r>
              <w:rPr>
                <w:spacing w:val="-1"/>
                <w:sz w:val="22"/>
              </w:rPr>
              <w:t>（</w:t>
            </w:r>
            <w:r>
              <w:rPr>
                <w:spacing w:val="-2"/>
                <w:sz w:val="22"/>
              </w:rPr>
              <w:t>万元</w:t>
            </w:r>
            <w:r>
              <w:rPr>
                <w:sz w:val="22"/>
              </w:rPr>
              <w:t>）</w:t>
            </w:r>
          </w:p>
        </w:tc>
        <w:tc>
          <w:tcPr>
            <w:tcW w:w="3487" w:type="dxa"/>
            <w:gridSpan w:val="2"/>
          </w:tcPr>
          <w:p>
            <w:pPr>
              <w:pStyle w:val="TableParagraph"/>
              <w:spacing w:before="94"/>
              <w:ind w:left="125"/>
              <w:rPr>
                <w:sz w:val="22"/>
              </w:rPr>
            </w:pPr>
            <w:r>
              <w:rPr>
                <w:sz w:val="22"/>
              </w:rPr>
              <w:t>年度资金总额：</w:t>
            </w:r>
          </w:p>
        </w:tc>
        <w:tc>
          <w:tcPr>
            <w:tcW w:w="3087" w:type="dxa"/>
            <w:gridSpan w:val="2"/>
          </w:tcPr>
          <w:p>
            <w:pPr>
              <w:pStyle w:val="TableParagraph"/>
              <w:spacing w:before="94"/>
              <w:ind w:left="1194" w:right="1183"/>
              <w:jc w:val="center"/>
              <w:rPr>
                <w:sz w:val="22"/>
              </w:rPr>
            </w:pPr>
            <w:r>
              <w:rPr>
                <w:sz w:val="22"/>
              </w:rPr>
              <w:t>210.73</w:t>
            </w:r>
          </w:p>
        </w:tc>
        <w:tc>
          <w:tcPr>
            <w:tcW w:w="1247" w:type="dxa"/>
            <w:vMerge w:val="restart"/>
          </w:tcPr>
          <w:p>
            <w:pPr>
              <w:pStyle w:val="TableParagraph"/>
              <w:rPr>
                <w:sz w:val="22"/>
              </w:rPr>
            </w:pPr>
          </w:p>
          <w:p>
            <w:pPr>
              <w:pStyle w:val="TableParagraph"/>
              <w:spacing w:before="6"/>
              <w:rPr>
                <w:sz w:val="27"/>
              </w:rPr>
            </w:pPr>
          </w:p>
          <w:p>
            <w:pPr>
              <w:pStyle w:val="TableParagraph"/>
              <w:spacing w:line="266" w:lineRule="auto"/>
              <w:ind w:left="72" w:right="60" w:firstLine="220"/>
              <w:rPr>
                <w:sz w:val="22"/>
              </w:rPr>
            </w:pPr>
            <w:r>
              <w:rPr>
                <w:sz w:val="22"/>
              </w:rPr>
              <w:t>执 行 率 分值（10）</w:t>
            </w:r>
          </w:p>
        </w:tc>
      </w:tr>
      <w:tr>
        <w:trPr>
          <w:trHeight w:val="453" w:hRule="atLeast"/>
        </w:trPr>
        <w:tc>
          <w:tcPr>
            <w:tcW w:w="1764" w:type="dxa"/>
            <w:gridSpan w:val="2"/>
            <w:vMerge/>
            <w:tcBorders>
              <w:top w:val="nil"/>
            </w:tcBorders>
          </w:tcPr>
          <w:p>
            <w:pPr>
              <w:rPr>
                <w:sz w:val="2"/>
                <w:szCs w:val="2"/>
              </w:rPr>
            </w:pPr>
          </w:p>
        </w:tc>
        <w:tc>
          <w:tcPr>
            <w:tcW w:w="3487" w:type="dxa"/>
            <w:gridSpan w:val="2"/>
          </w:tcPr>
          <w:p>
            <w:pPr>
              <w:pStyle w:val="TableParagraph"/>
              <w:spacing w:before="93"/>
              <w:ind w:left="893"/>
              <w:rPr>
                <w:sz w:val="22"/>
              </w:rPr>
            </w:pPr>
            <w:r>
              <w:rPr>
                <w:sz w:val="22"/>
              </w:rPr>
              <w:t>其中：财政拨款</w:t>
            </w:r>
          </w:p>
        </w:tc>
        <w:tc>
          <w:tcPr>
            <w:tcW w:w="3087" w:type="dxa"/>
            <w:gridSpan w:val="2"/>
          </w:tcPr>
          <w:p>
            <w:pPr>
              <w:pStyle w:val="TableParagraph"/>
              <w:spacing w:before="93"/>
              <w:ind w:left="1194" w:right="1183"/>
              <w:jc w:val="center"/>
              <w:rPr>
                <w:sz w:val="22"/>
              </w:rPr>
            </w:pPr>
            <w:r>
              <w:rPr>
                <w:sz w:val="22"/>
              </w:rPr>
              <w:t>194</w:t>
            </w:r>
          </w:p>
        </w:tc>
        <w:tc>
          <w:tcPr>
            <w:tcW w:w="1247" w:type="dxa"/>
            <w:vMerge/>
            <w:tcBorders>
              <w:top w:val="nil"/>
            </w:tcBorders>
          </w:tcPr>
          <w:p>
            <w:pPr>
              <w:rPr>
                <w:sz w:val="2"/>
                <w:szCs w:val="2"/>
              </w:rPr>
            </w:pPr>
          </w:p>
        </w:tc>
      </w:tr>
      <w:tr>
        <w:trPr>
          <w:trHeight w:val="454" w:hRule="atLeast"/>
        </w:trPr>
        <w:tc>
          <w:tcPr>
            <w:tcW w:w="1764" w:type="dxa"/>
            <w:gridSpan w:val="2"/>
            <w:vMerge/>
            <w:tcBorders>
              <w:top w:val="nil"/>
            </w:tcBorders>
          </w:tcPr>
          <w:p>
            <w:pPr>
              <w:rPr>
                <w:sz w:val="2"/>
                <w:szCs w:val="2"/>
              </w:rPr>
            </w:pPr>
          </w:p>
        </w:tc>
        <w:tc>
          <w:tcPr>
            <w:tcW w:w="3487" w:type="dxa"/>
            <w:gridSpan w:val="2"/>
          </w:tcPr>
          <w:p>
            <w:pPr>
              <w:pStyle w:val="TableParagraph"/>
              <w:spacing w:before="95"/>
              <w:ind w:left="1853"/>
              <w:rPr>
                <w:sz w:val="22"/>
              </w:rPr>
            </w:pPr>
            <w:r>
              <w:rPr>
                <w:sz w:val="22"/>
              </w:rPr>
              <w:t>上年结转</w:t>
            </w:r>
          </w:p>
        </w:tc>
        <w:tc>
          <w:tcPr>
            <w:tcW w:w="3087" w:type="dxa"/>
            <w:gridSpan w:val="2"/>
          </w:tcPr>
          <w:p>
            <w:pPr>
              <w:pStyle w:val="TableParagraph"/>
              <w:spacing w:before="95"/>
              <w:ind w:left="1194" w:right="1183"/>
              <w:jc w:val="center"/>
              <w:rPr>
                <w:sz w:val="22"/>
              </w:rPr>
            </w:pPr>
            <w:r>
              <w:rPr>
                <w:sz w:val="22"/>
              </w:rPr>
              <w:t>16.73</w:t>
            </w:r>
          </w:p>
        </w:tc>
        <w:tc>
          <w:tcPr>
            <w:tcW w:w="1247" w:type="dxa"/>
            <w:vMerge/>
            <w:tcBorders>
              <w:top w:val="nil"/>
            </w:tcBorders>
          </w:tcPr>
          <w:p>
            <w:pPr>
              <w:rPr>
                <w:sz w:val="2"/>
                <w:szCs w:val="2"/>
              </w:rPr>
            </w:pPr>
          </w:p>
        </w:tc>
      </w:tr>
      <w:tr>
        <w:trPr>
          <w:trHeight w:val="453" w:hRule="atLeast"/>
        </w:trPr>
        <w:tc>
          <w:tcPr>
            <w:tcW w:w="1764" w:type="dxa"/>
            <w:gridSpan w:val="2"/>
            <w:vMerge/>
            <w:tcBorders>
              <w:top w:val="nil"/>
            </w:tcBorders>
          </w:tcPr>
          <w:p>
            <w:pPr>
              <w:rPr>
                <w:sz w:val="2"/>
                <w:szCs w:val="2"/>
              </w:rPr>
            </w:pPr>
          </w:p>
        </w:tc>
        <w:tc>
          <w:tcPr>
            <w:tcW w:w="3487" w:type="dxa"/>
            <w:gridSpan w:val="2"/>
          </w:tcPr>
          <w:p>
            <w:pPr>
              <w:pStyle w:val="TableParagraph"/>
              <w:spacing w:before="94"/>
              <w:ind w:left="1853"/>
              <w:rPr>
                <w:sz w:val="22"/>
              </w:rPr>
            </w:pPr>
            <w:r>
              <w:rPr>
                <w:sz w:val="22"/>
              </w:rPr>
              <w:t>其他资金</w:t>
            </w:r>
          </w:p>
        </w:tc>
        <w:tc>
          <w:tcPr>
            <w:tcW w:w="3087" w:type="dxa"/>
            <w:gridSpan w:val="2"/>
          </w:tcPr>
          <w:p>
            <w:pPr>
              <w:pStyle w:val="TableParagraph"/>
              <w:rPr>
                <w:rFonts w:ascii="Times New Roman"/>
                <w:sz w:val="22"/>
              </w:rPr>
            </w:pPr>
          </w:p>
        </w:tc>
        <w:tc>
          <w:tcPr>
            <w:tcW w:w="1247" w:type="dxa"/>
            <w:vMerge/>
            <w:tcBorders>
              <w:top w:val="nil"/>
            </w:tcBorders>
          </w:tcPr>
          <w:p>
            <w:pPr>
              <w:rPr>
                <w:sz w:val="2"/>
                <w:szCs w:val="2"/>
              </w:rPr>
            </w:pPr>
          </w:p>
        </w:tc>
      </w:tr>
      <w:tr>
        <w:trPr>
          <w:trHeight w:val="1887" w:hRule="atLeast"/>
        </w:trPr>
        <w:tc>
          <w:tcPr>
            <w:tcW w:w="559" w:type="dxa"/>
          </w:tcPr>
          <w:p>
            <w:pPr>
              <w:pStyle w:val="TableParagraph"/>
              <w:spacing w:line="310" w:lineRule="atLeast" w:before="2"/>
              <w:ind w:left="168" w:right="157"/>
              <w:jc w:val="both"/>
              <w:rPr>
                <w:sz w:val="22"/>
              </w:rPr>
            </w:pPr>
            <w:r>
              <w:rPr>
                <w:sz w:val="22"/>
              </w:rPr>
              <w:t>年度总体目标</w:t>
            </w:r>
          </w:p>
        </w:tc>
        <w:tc>
          <w:tcPr>
            <w:tcW w:w="9026" w:type="dxa"/>
            <w:gridSpan w:val="6"/>
          </w:tcPr>
          <w:p>
            <w:pPr>
              <w:pStyle w:val="TableParagraph"/>
              <w:spacing w:before="9"/>
              <w:rPr>
                <w:sz w:val="26"/>
              </w:rPr>
            </w:pPr>
          </w:p>
          <w:p>
            <w:pPr>
              <w:pStyle w:val="TableParagraph"/>
              <w:spacing w:line="266" w:lineRule="auto"/>
              <w:ind w:left="15" w:right="3" w:firstLine="439"/>
              <w:jc w:val="both"/>
              <w:rPr>
                <w:sz w:val="22"/>
              </w:rPr>
            </w:pPr>
            <w:r>
              <w:rPr>
                <w:sz w:val="22"/>
              </w:rPr>
              <w:t>2023</w:t>
            </w:r>
            <w:r>
              <w:rPr>
                <w:spacing w:val="-13"/>
                <w:sz w:val="22"/>
              </w:rPr>
              <w:t> 年保障基层消防救援指战员保持充沛体力，在保障本单位基层消防救援指战员每日伙</w:t>
            </w:r>
            <w:r>
              <w:rPr>
                <w:spacing w:val="-6"/>
                <w:sz w:val="22"/>
              </w:rPr>
              <w:t>食的基础上，严格按照《党政机关厉行节约反对浪费条例》有关要求加强伙食管理。定期对项</w:t>
            </w:r>
            <w:r>
              <w:rPr>
                <w:spacing w:val="-5"/>
                <w:sz w:val="22"/>
              </w:rPr>
              <w:t>目的绩效目标完成情况进行自评，发现目标偏离及时修正，进一步提高基层消防救援指战员的</w:t>
            </w:r>
            <w:r>
              <w:rPr>
                <w:spacing w:val="-3"/>
                <w:sz w:val="22"/>
              </w:rPr>
              <w:t>满足感、获得感。</w:t>
            </w:r>
          </w:p>
        </w:tc>
      </w:tr>
      <w:tr>
        <w:trPr>
          <w:trHeight w:val="638" w:hRule="atLeast"/>
        </w:trPr>
        <w:tc>
          <w:tcPr>
            <w:tcW w:w="559"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
              <w:rPr>
                <w:sz w:val="22"/>
              </w:rPr>
            </w:pPr>
          </w:p>
          <w:p>
            <w:pPr>
              <w:pStyle w:val="TableParagraph"/>
              <w:spacing w:line="266" w:lineRule="auto"/>
              <w:ind w:left="168" w:right="157"/>
              <w:jc w:val="both"/>
              <w:rPr>
                <w:sz w:val="22"/>
              </w:rPr>
            </w:pPr>
            <w:r>
              <w:rPr>
                <w:sz w:val="22"/>
              </w:rPr>
              <w:t>绩效指标</w:t>
            </w:r>
          </w:p>
        </w:tc>
        <w:tc>
          <w:tcPr>
            <w:tcW w:w="1205" w:type="dxa"/>
          </w:tcPr>
          <w:p>
            <w:pPr>
              <w:pStyle w:val="TableParagraph"/>
              <w:spacing w:before="188"/>
              <w:ind w:left="161"/>
              <w:rPr>
                <w:sz w:val="22"/>
              </w:rPr>
            </w:pPr>
            <w:r>
              <w:rPr>
                <w:sz w:val="22"/>
              </w:rPr>
              <w:t>一级指标</w:t>
            </w:r>
          </w:p>
        </w:tc>
        <w:tc>
          <w:tcPr>
            <w:tcW w:w="2137" w:type="dxa"/>
          </w:tcPr>
          <w:p>
            <w:pPr>
              <w:pStyle w:val="TableParagraph"/>
              <w:spacing w:before="188"/>
              <w:ind w:left="386" w:right="378"/>
              <w:jc w:val="center"/>
              <w:rPr>
                <w:sz w:val="22"/>
              </w:rPr>
            </w:pPr>
            <w:r>
              <w:rPr>
                <w:sz w:val="22"/>
              </w:rPr>
              <w:t>二级指标</w:t>
            </w:r>
          </w:p>
        </w:tc>
        <w:tc>
          <w:tcPr>
            <w:tcW w:w="2289" w:type="dxa"/>
            <w:gridSpan w:val="2"/>
          </w:tcPr>
          <w:p>
            <w:pPr>
              <w:pStyle w:val="TableParagraph"/>
              <w:spacing w:before="188"/>
              <w:ind w:left="702"/>
              <w:rPr>
                <w:sz w:val="22"/>
              </w:rPr>
            </w:pPr>
            <w:r>
              <w:rPr>
                <w:sz w:val="22"/>
              </w:rPr>
              <w:t>三级指标</w:t>
            </w:r>
          </w:p>
        </w:tc>
        <w:tc>
          <w:tcPr>
            <w:tcW w:w="2148" w:type="dxa"/>
          </w:tcPr>
          <w:p>
            <w:pPr>
              <w:pStyle w:val="TableParagraph"/>
              <w:spacing w:before="188"/>
              <w:ind w:left="14" w:right="4"/>
              <w:jc w:val="center"/>
              <w:rPr>
                <w:sz w:val="22"/>
              </w:rPr>
            </w:pPr>
            <w:r>
              <w:rPr>
                <w:sz w:val="22"/>
              </w:rPr>
              <w:t>指标值</w:t>
            </w:r>
          </w:p>
        </w:tc>
        <w:tc>
          <w:tcPr>
            <w:tcW w:w="1247" w:type="dxa"/>
          </w:tcPr>
          <w:p>
            <w:pPr>
              <w:pStyle w:val="TableParagraph"/>
              <w:spacing w:before="32"/>
              <w:ind w:left="182"/>
              <w:rPr>
                <w:sz w:val="22"/>
              </w:rPr>
            </w:pPr>
            <w:r>
              <w:rPr>
                <w:sz w:val="22"/>
              </w:rPr>
              <w:t>分值权重</w:t>
            </w:r>
          </w:p>
          <w:p>
            <w:pPr>
              <w:pStyle w:val="TableParagraph"/>
              <w:spacing w:line="275" w:lineRule="exact" w:before="30"/>
              <w:ind w:left="293"/>
              <w:rPr>
                <w:sz w:val="22"/>
              </w:rPr>
            </w:pPr>
            <w:r>
              <w:rPr>
                <w:sz w:val="22"/>
              </w:rPr>
              <w:t>（90）</w:t>
            </w:r>
          </w:p>
        </w:tc>
      </w:tr>
      <w:tr>
        <w:trPr>
          <w:trHeight w:val="453" w:hRule="atLeast"/>
        </w:trPr>
        <w:tc>
          <w:tcPr>
            <w:tcW w:w="559" w:type="dxa"/>
            <w:vMerge/>
            <w:tcBorders>
              <w:top w:val="nil"/>
            </w:tcBorders>
          </w:tcPr>
          <w:p>
            <w:pPr>
              <w:rPr>
                <w:sz w:val="2"/>
                <w:szCs w:val="2"/>
              </w:rPr>
            </w:pPr>
          </w:p>
        </w:tc>
        <w:tc>
          <w:tcPr>
            <w:tcW w:w="1205" w:type="dxa"/>
            <w:vMerge w:val="restart"/>
          </w:tcPr>
          <w:p>
            <w:pPr>
              <w:pStyle w:val="TableParagraph"/>
              <w:rPr>
                <w:sz w:val="22"/>
              </w:rPr>
            </w:pPr>
          </w:p>
          <w:p>
            <w:pPr>
              <w:pStyle w:val="TableParagraph"/>
              <w:rPr>
                <w:sz w:val="22"/>
              </w:rPr>
            </w:pPr>
          </w:p>
          <w:p>
            <w:pPr>
              <w:pStyle w:val="TableParagraph"/>
              <w:rPr>
                <w:sz w:val="22"/>
              </w:rPr>
            </w:pPr>
          </w:p>
          <w:p>
            <w:pPr>
              <w:pStyle w:val="TableParagraph"/>
              <w:spacing w:before="12"/>
              <w:rPr>
                <w:sz w:val="31"/>
              </w:rPr>
            </w:pPr>
          </w:p>
          <w:p>
            <w:pPr>
              <w:pStyle w:val="TableParagraph"/>
              <w:ind w:left="161"/>
              <w:rPr>
                <w:sz w:val="22"/>
              </w:rPr>
            </w:pPr>
            <w:r>
              <w:rPr>
                <w:sz w:val="22"/>
              </w:rPr>
              <w:t>成本指标</w:t>
            </w:r>
          </w:p>
        </w:tc>
        <w:tc>
          <w:tcPr>
            <w:tcW w:w="2137" w:type="dxa"/>
            <w:vMerge w:val="restart"/>
          </w:tcPr>
          <w:p>
            <w:pPr>
              <w:pStyle w:val="TableParagraph"/>
              <w:spacing w:before="6"/>
              <w:rPr>
                <w:sz w:val="25"/>
              </w:rPr>
            </w:pPr>
          </w:p>
          <w:p>
            <w:pPr>
              <w:pStyle w:val="TableParagraph"/>
              <w:ind w:left="408"/>
              <w:rPr>
                <w:sz w:val="22"/>
              </w:rPr>
            </w:pPr>
            <w:r>
              <w:rPr>
                <w:sz w:val="22"/>
              </w:rPr>
              <w:t>经济成本指标</w:t>
            </w:r>
          </w:p>
        </w:tc>
        <w:tc>
          <w:tcPr>
            <w:tcW w:w="2289" w:type="dxa"/>
            <w:gridSpan w:val="2"/>
          </w:tcPr>
          <w:p>
            <w:pPr>
              <w:pStyle w:val="TableParagraph"/>
              <w:spacing w:before="93"/>
              <w:ind w:left="592"/>
              <w:rPr>
                <w:sz w:val="22"/>
              </w:rPr>
            </w:pPr>
            <w:r>
              <w:rPr>
                <w:sz w:val="22"/>
              </w:rPr>
              <w:t>食品安全率</w:t>
            </w:r>
          </w:p>
        </w:tc>
        <w:tc>
          <w:tcPr>
            <w:tcW w:w="2148" w:type="dxa"/>
          </w:tcPr>
          <w:p>
            <w:pPr>
              <w:pStyle w:val="TableParagraph"/>
              <w:spacing w:before="93"/>
              <w:ind w:left="12" w:right="4"/>
              <w:jc w:val="center"/>
              <w:rPr>
                <w:sz w:val="22"/>
              </w:rPr>
            </w:pPr>
            <w:r>
              <w:rPr>
                <w:sz w:val="22"/>
              </w:rPr>
              <w:t>100</w:t>
            </w:r>
          </w:p>
        </w:tc>
        <w:tc>
          <w:tcPr>
            <w:tcW w:w="1247" w:type="dxa"/>
          </w:tcPr>
          <w:p>
            <w:pPr>
              <w:pStyle w:val="TableParagraph"/>
              <w:spacing w:before="93"/>
              <w:ind w:left="327" w:right="318"/>
              <w:jc w:val="center"/>
              <w:rPr>
                <w:sz w:val="22"/>
              </w:rPr>
            </w:pPr>
            <w:r>
              <w:rPr>
                <w:sz w:val="22"/>
              </w:rPr>
              <w:t>15.00</w:t>
            </w: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5"/>
              <w:ind w:left="7"/>
              <w:jc w:val="center"/>
              <w:rPr>
                <w:sz w:val="22"/>
              </w:rPr>
            </w:pPr>
            <w:r>
              <w:rPr>
                <w:w w:val="100"/>
                <w:sz w:val="22"/>
              </w:rPr>
              <w:t>0</w:t>
            </w: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val="restart"/>
          </w:tcPr>
          <w:p>
            <w:pPr>
              <w:pStyle w:val="TableParagraph"/>
              <w:spacing w:before="6"/>
              <w:rPr>
                <w:sz w:val="25"/>
              </w:rPr>
            </w:pPr>
          </w:p>
          <w:p>
            <w:pPr>
              <w:pStyle w:val="TableParagraph"/>
              <w:spacing w:before="1"/>
              <w:ind w:left="408"/>
              <w:rPr>
                <w:sz w:val="22"/>
              </w:rPr>
            </w:pPr>
            <w:r>
              <w:rPr>
                <w:sz w:val="22"/>
              </w:rPr>
              <w:t>社会成本指标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4"/>
              <w:ind w:left="7"/>
              <w:jc w:val="center"/>
              <w:rPr>
                <w:sz w:val="22"/>
              </w:rPr>
            </w:pPr>
            <w:r>
              <w:rPr>
                <w:w w:val="100"/>
                <w:sz w:val="22"/>
              </w:rPr>
              <w:t>0</w:t>
            </w:r>
          </w:p>
        </w:tc>
      </w:tr>
      <w:tr>
        <w:trPr>
          <w:trHeight w:val="454"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spacing w:before="93"/>
              <w:ind w:left="592"/>
              <w:rPr>
                <w:sz w:val="22"/>
              </w:rPr>
            </w:pPr>
            <w:r>
              <w:rPr>
                <w:sz w:val="22"/>
              </w:rPr>
              <w:t>专款专用率</w:t>
            </w:r>
          </w:p>
        </w:tc>
        <w:tc>
          <w:tcPr>
            <w:tcW w:w="2148" w:type="dxa"/>
          </w:tcPr>
          <w:p>
            <w:pPr>
              <w:pStyle w:val="TableParagraph"/>
              <w:spacing w:before="93"/>
              <w:ind w:left="12" w:right="4"/>
              <w:jc w:val="center"/>
              <w:rPr>
                <w:sz w:val="22"/>
              </w:rPr>
            </w:pPr>
            <w:r>
              <w:rPr>
                <w:sz w:val="22"/>
              </w:rPr>
              <w:t>100</w:t>
            </w:r>
          </w:p>
        </w:tc>
        <w:tc>
          <w:tcPr>
            <w:tcW w:w="1247" w:type="dxa"/>
          </w:tcPr>
          <w:p>
            <w:pPr>
              <w:pStyle w:val="TableParagraph"/>
              <w:spacing w:before="93"/>
              <w:ind w:left="328" w:right="317"/>
              <w:jc w:val="center"/>
              <w:rPr>
                <w:sz w:val="22"/>
              </w:rPr>
            </w:pPr>
            <w:r>
              <w:rPr>
                <w:sz w:val="22"/>
              </w:rPr>
              <w:t>10.00</w:t>
            </w: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val="restart"/>
          </w:tcPr>
          <w:p>
            <w:pPr>
              <w:pStyle w:val="TableParagraph"/>
              <w:spacing w:before="5"/>
              <w:rPr>
                <w:sz w:val="25"/>
              </w:rPr>
            </w:pPr>
          </w:p>
          <w:p>
            <w:pPr>
              <w:pStyle w:val="TableParagraph"/>
              <w:ind w:left="187"/>
              <w:rPr>
                <w:sz w:val="22"/>
              </w:rPr>
            </w:pPr>
            <w:r>
              <w:rPr>
                <w:sz w:val="22"/>
              </w:rPr>
              <w:t>生态环境成本指标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5"/>
              <w:ind w:left="7"/>
              <w:jc w:val="center"/>
              <w:rPr>
                <w:sz w:val="22"/>
              </w:rPr>
            </w:pPr>
            <w:r>
              <w:rPr>
                <w:w w:val="100"/>
                <w:sz w:val="22"/>
              </w:rPr>
              <w:t>0</w:t>
            </w:r>
          </w:p>
        </w:tc>
      </w:tr>
      <w:tr>
        <w:trPr>
          <w:trHeight w:val="454"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4"/>
              <w:ind w:left="7"/>
              <w:jc w:val="center"/>
              <w:rPr>
                <w:sz w:val="22"/>
              </w:rPr>
            </w:pPr>
            <w:r>
              <w:rPr>
                <w:w w:val="100"/>
                <w:sz w:val="22"/>
              </w:rPr>
              <w:t>0</w:t>
            </w:r>
          </w:p>
        </w:tc>
      </w:tr>
      <w:tr>
        <w:trPr>
          <w:trHeight w:val="453" w:hRule="atLeast"/>
        </w:trPr>
        <w:tc>
          <w:tcPr>
            <w:tcW w:w="559" w:type="dxa"/>
            <w:vMerge/>
            <w:tcBorders>
              <w:top w:val="nil"/>
            </w:tcBorders>
          </w:tcPr>
          <w:p>
            <w:pPr>
              <w:rPr>
                <w:sz w:val="2"/>
                <w:szCs w:val="2"/>
              </w:rPr>
            </w:pPr>
          </w:p>
        </w:tc>
        <w:tc>
          <w:tcPr>
            <w:tcW w:w="1205"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5"/>
              <w:rPr>
                <w:sz w:val="24"/>
              </w:rPr>
            </w:pPr>
          </w:p>
          <w:p>
            <w:pPr>
              <w:pStyle w:val="TableParagraph"/>
              <w:ind w:left="161"/>
              <w:rPr>
                <w:sz w:val="22"/>
              </w:rPr>
            </w:pPr>
            <w:r>
              <w:rPr>
                <w:sz w:val="22"/>
              </w:rPr>
              <w:t>产出指标</w:t>
            </w:r>
          </w:p>
        </w:tc>
        <w:tc>
          <w:tcPr>
            <w:tcW w:w="2137" w:type="dxa"/>
            <w:vMerge w:val="restart"/>
          </w:tcPr>
          <w:p>
            <w:pPr>
              <w:pStyle w:val="TableParagraph"/>
              <w:spacing w:before="10"/>
              <w:rPr>
                <w:sz w:val="32"/>
              </w:rPr>
            </w:pPr>
          </w:p>
          <w:p>
            <w:pPr>
              <w:pStyle w:val="TableParagraph"/>
              <w:ind w:left="627"/>
              <w:rPr>
                <w:sz w:val="22"/>
              </w:rPr>
            </w:pPr>
            <w:r>
              <w:rPr>
                <w:sz w:val="22"/>
              </w:rPr>
              <w:t>数量指标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3"/>
              <w:ind w:left="7"/>
              <w:jc w:val="center"/>
              <w:rPr>
                <w:sz w:val="22"/>
              </w:rPr>
            </w:pPr>
            <w:r>
              <w:rPr>
                <w:w w:val="100"/>
                <w:sz w:val="22"/>
              </w:rPr>
              <w:t>0</w:t>
            </w:r>
          </w:p>
        </w:tc>
      </w:tr>
      <w:tr>
        <w:trPr>
          <w:trHeight w:val="639"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spacing w:line="310" w:lineRule="atLeast" w:before="2"/>
              <w:ind w:left="1034" w:right="33" w:hanging="992"/>
              <w:rPr>
                <w:sz w:val="22"/>
              </w:rPr>
            </w:pPr>
            <w:r>
              <w:rPr>
                <w:sz w:val="22"/>
              </w:rPr>
              <w:t>基层指战员保持充沛体力</w:t>
            </w:r>
          </w:p>
        </w:tc>
        <w:tc>
          <w:tcPr>
            <w:tcW w:w="2148" w:type="dxa"/>
          </w:tcPr>
          <w:p>
            <w:pPr>
              <w:pStyle w:val="TableParagraph"/>
              <w:spacing w:before="186"/>
              <w:ind w:left="12" w:right="4"/>
              <w:jc w:val="center"/>
              <w:rPr>
                <w:sz w:val="22"/>
              </w:rPr>
            </w:pPr>
            <w:r>
              <w:rPr>
                <w:sz w:val="22"/>
              </w:rPr>
              <w:t>94 人</w:t>
            </w:r>
          </w:p>
        </w:tc>
        <w:tc>
          <w:tcPr>
            <w:tcW w:w="1247" w:type="dxa"/>
          </w:tcPr>
          <w:p>
            <w:pPr>
              <w:pStyle w:val="TableParagraph"/>
              <w:spacing w:before="186"/>
              <w:ind w:left="328" w:right="317"/>
              <w:jc w:val="center"/>
              <w:rPr>
                <w:sz w:val="22"/>
              </w:rPr>
            </w:pPr>
            <w:r>
              <w:rPr>
                <w:sz w:val="22"/>
              </w:rPr>
              <w:t>10.00</w:t>
            </w: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val="restart"/>
          </w:tcPr>
          <w:p>
            <w:pPr>
              <w:pStyle w:val="TableParagraph"/>
              <w:spacing w:before="8"/>
              <w:rPr>
                <w:sz w:val="32"/>
              </w:rPr>
            </w:pPr>
          </w:p>
          <w:p>
            <w:pPr>
              <w:pStyle w:val="TableParagraph"/>
              <w:ind w:left="627"/>
              <w:rPr>
                <w:sz w:val="22"/>
              </w:rPr>
            </w:pPr>
            <w:r>
              <w:rPr>
                <w:sz w:val="22"/>
              </w:rPr>
              <w:t>质量指标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4"/>
              <w:ind w:left="7"/>
              <w:jc w:val="center"/>
              <w:rPr>
                <w:sz w:val="22"/>
              </w:rPr>
            </w:pPr>
            <w:r>
              <w:rPr>
                <w:w w:val="100"/>
                <w:sz w:val="22"/>
              </w:rPr>
              <w:t>0</w:t>
            </w:r>
          </w:p>
        </w:tc>
      </w:tr>
      <w:tr>
        <w:trPr>
          <w:trHeight w:val="639"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spacing w:line="310" w:lineRule="atLeast" w:before="3"/>
              <w:ind w:left="813" w:right="33" w:hanging="771"/>
              <w:rPr>
                <w:sz w:val="22"/>
              </w:rPr>
            </w:pPr>
            <w:r>
              <w:rPr>
                <w:sz w:val="22"/>
              </w:rPr>
              <w:t>基层消防救援人员伙食满意度</w:t>
            </w:r>
          </w:p>
        </w:tc>
        <w:tc>
          <w:tcPr>
            <w:tcW w:w="2148" w:type="dxa"/>
          </w:tcPr>
          <w:p>
            <w:pPr>
              <w:pStyle w:val="TableParagraph"/>
              <w:spacing w:before="187"/>
              <w:ind w:left="12" w:right="4"/>
              <w:jc w:val="center"/>
              <w:rPr>
                <w:sz w:val="22"/>
              </w:rPr>
            </w:pPr>
            <w:r>
              <w:rPr>
                <w:sz w:val="22"/>
              </w:rPr>
              <w:t>95</w:t>
            </w:r>
          </w:p>
        </w:tc>
        <w:tc>
          <w:tcPr>
            <w:tcW w:w="1247" w:type="dxa"/>
          </w:tcPr>
          <w:p>
            <w:pPr>
              <w:pStyle w:val="TableParagraph"/>
              <w:spacing w:before="187"/>
              <w:ind w:left="328" w:right="317"/>
              <w:jc w:val="center"/>
              <w:rPr>
                <w:sz w:val="22"/>
              </w:rPr>
            </w:pPr>
            <w:r>
              <w:rPr>
                <w:sz w:val="22"/>
              </w:rPr>
              <w:t>10.00</w:t>
            </w:r>
          </w:p>
        </w:tc>
      </w:tr>
      <w:tr>
        <w:trPr>
          <w:trHeight w:val="454"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val="restart"/>
          </w:tcPr>
          <w:p>
            <w:pPr>
              <w:pStyle w:val="TableParagraph"/>
              <w:spacing w:before="4"/>
              <w:rPr>
                <w:sz w:val="25"/>
              </w:rPr>
            </w:pPr>
          </w:p>
          <w:p>
            <w:pPr>
              <w:pStyle w:val="TableParagraph"/>
              <w:spacing w:before="1"/>
              <w:ind w:left="627"/>
              <w:rPr>
                <w:sz w:val="22"/>
              </w:rPr>
            </w:pPr>
            <w:r>
              <w:rPr>
                <w:sz w:val="22"/>
              </w:rPr>
              <w:t>时效指标</w:t>
            </w:r>
          </w:p>
        </w:tc>
        <w:tc>
          <w:tcPr>
            <w:tcW w:w="2289" w:type="dxa"/>
            <w:gridSpan w:val="2"/>
          </w:tcPr>
          <w:p>
            <w:pPr>
              <w:pStyle w:val="TableParagraph"/>
              <w:spacing w:before="95"/>
              <w:ind w:left="592"/>
              <w:rPr>
                <w:sz w:val="22"/>
              </w:rPr>
            </w:pPr>
            <w:r>
              <w:rPr>
                <w:sz w:val="22"/>
              </w:rPr>
              <w:t>食品安全率</w:t>
            </w:r>
          </w:p>
        </w:tc>
        <w:tc>
          <w:tcPr>
            <w:tcW w:w="2148" w:type="dxa"/>
          </w:tcPr>
          <w:p>
            <w:pPr>
              <w:pStyle w:val="TableParagraph"/>
              <w:spacing w:before="95"/>
              <w:ind w:left="12" w:right="4"/>
              <w:jc w:val="center"/>
              <w:rPr>
                <w:sz w:val="22"/>
              </w:rPr>
            </w:pPr>
            <w:r>
              <w:rPr>
                <w:sz w:val="22"/>
              </w:rPr>
              <w:t>100</w:t>
            </w:r>
          </w:p>
        </w:tc>
        <w:tc>
          <w:tcPr>
            <w:tcW w:w="1247" w:type="dxa"/>
          </w:tcPr>
          <w:p>
            <w:pPr>
              <w:pStyle w:val="TableParagraph"/>
              <w:spacing w:before="95"/>
              <w:ind w:left="327" w:right="318"/>
              <w:jc w:val="center"/>
              <w:rPr>
                <w:sz w:val="22"/>
              </w:rPr>
            </w:pPr>
            <w:r>
              <w:rPr>
                <w:sz w:val="22"/>
              </w:rPr>
              <w:t>15.00</w:t>
            </w: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rPr>
                <w:rFonts w:ascii="Times New Roman"/>
                <w:sz w:val="22"/>
              </w:rPr>
            </w:pPr>
          </w:p>
        </w:tc>
      </w:tr>
      <w:tr>
        <w:trPr>
          <w:trHeight w:val="454" w:hRule="atLeast"/>
        </w:trPr>
        <w:tc>
          <w:tcPr>
            <w:tcW w:w="559" w:type="dxa"/>
            <w:vMerge/>
            <w:tcBorders>
              <w:top w:val="nil"/>
            </w:tcBorders>
          </w:tcPr>
          <w:p>
            <w:pPr>
              <w:rPr>
                <w:sz w:val="2"/>
                <w:szCs w:val="2"/>
              </w:rPr>
            </w:pPr>
          </w:p>
        </w:tc>
        <w:tc>
          <w:tcPr>
            <w:tcW w:w="1205" w:type="dxa"/>
            <w:vMerge w:val="restart"/>
          </w:tcPr>
          <w:p>
            <w:pPr>
              <w:pStyle w:val="TableParagraph"/>
              <w:rPr>
                <w:sz w:val="22"/>
              </w:rPr>
            </w:pPr>
          </w:p>
          <w:p>
            <w:pPr>
              <w:pStyle w:val="TableParagraph"/>
              <w:spacing w:before="7"/>
              <w:rPr>
                <w:sz w:val="21"/>
              </w:rPr>
            </w:pPr>
          </w:p>
          <w:p>
            <w:pPr>
              <w:pStyle w:val="TableParagraph"/>
              <w:spacing w:before="1"/>
              <w:ind w:left="161"/>
              <w:rPr>
                <w:sz w:val="22"/>
              </w:rPr>
            </w:pPr>
            <w:r>
              <w:rPr>
                <w:sz w:val="22"/>
              </w:rPr>
              <w:t>效益指标</w:t>
            </w:r>
          </w:p>
        </w:tc>
        <w:tc>
          <w:tcPr>
            <w:tcW w:w="2137" w:type="dxa"/>
            <w:vMerge w:val="restart"/>
          </w:tcPr>
          <w:p>
            <w:pPr>
              <w:pStyle w:val="TableParagraph"/>
              <w:spacing w:before="5"/>
              <w:rPr>
                <w:sz w:val="25"/>
              </w:rPr>
            </w:pPr>
          </w:p>
          <w:p>
            <w:pPr>
              <w:pStyle w:val="TableParagraph"/>
              <w:ind w:left="408"/>
              <w:rPr>
                <w:sz w:val="22"/>
              </w:rPr>
            </w:pPr>
            <w:r>
              <w:rPr>
                <w:sz w:val="22"/>
              </w:rPr>
              <w:t>经济效益指标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rPr>
                <w:rFonts w:ascii="Times New Roman"/>
                <w:sz w:val="22"/>
              </w:rPr>
            </w:pP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rPr>
                <w:rFonts w:ascii="Times New Roman"/>
                <w:sz w:val="22"/>
              </w:rPr>
            </w:pPr>
          </w:p>
        </w:tc>
      </w:tr>
      <w:tr>
        <w:trPr>
          <w:trHeight w:val="452"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tcPr>
          <w:p>
            <w:pPr>
              <w:pStyle w:val="TableParagraph"/>
              <w:spacing w:before="94"/>
              <w:ind w:left="388" w:right="378"/>
              <w:jc w:val="center"/>
              <w:rPr>
                <w:sz w:val="22"/>
              </w:rPr>
            </w:pPr>
            <w:r>
              <w:rPr>
                <w:sz w:val="22"/>
              </w:rPr>
              <w:t>社会效益指标</w:t>
            </w:r>
          </w:p>
        </w:tc>
        <w:tc>
          <w:tcPr>
            <w:tcW w:w="2289" w:type="dxa"/>
            <w:gridSpan w:val="2"/>
          </w:tcPr>
          <w:p>
            <w:pPr>
              <w:pStyle w:val="TableParagraph"/>
              <w:spacing w:before="94"/>
              <w:ind w:left="14"/>
              <w:rPr>
                <w:sz w:val="22"/>
              </w:rPr>
            </w:pPr>
            <w:r>
              <w:rPr>
                <w:sz w:val="22"/>
              </w:rPr>
              <w:t>对指战员训练水平影响</w:t>
            </w:r>
          </w:p>
        </w:tc>
        <w:tc>
          <w:tcPr>
            <w:tcW w:w="2148" w:type="dxa"/>
          </w:tcPr>
          <w:p>
            <w:pPr>
              <w:pStyle w:val="TableParagraph"/>
              <w:spacing w:before="94"/>
              <w:ind w:left="14" w:right="4"/>
              <w:jc w:val="center"/>
              <w:rPr>
                <w:sz w:val="22"/>
              </w:rPr>
            </w:pPr>
            <w:r>
              <w:rPr>
                <w:sz w:val="22"/>
              </w:rPr>
              <w:t>显著改善</w:t>
            </w:r>
          </w:p>
        </w:tc>
        <w:tc>
          <w:tcPr>
            <w:tcW w:w="1247" w:type="dxa"/>
          </w:tcPr>
          <w:p>
            <w:pPr>
              <w:pStyle w:val="TableParagraph"/>
              <w:spacing w:before="94"/>
              <w:ind w:left="325" w:right="318"/>
              <w:jc w:val="center"/>
              <w:rPr>
                <w:sz w:val="22"/>
              </w:rPr>
            </w:pPr>
            <w:r>
              <w:rPr>
                <w:sz w:val="22"/>
              </w:rPr>
              <w:t>10</w:t>
            </w:r>
          </w:p>
        </w:tc>
      </w:tr>
    </w:tbl>
    <w:p>
      <w:pPr>
        <w:spacing w:after="0"/>
        <w:jc w:val="center"/>
        <w:rPr>
          <w:sz w:val="22"/>
        </w:rPr>
        <w:sectPr>
          <w:footerReference w:type="default" r:id="rId12"/>
          <w:pgSz w:w="11910" w:h="16840"/>
          <w:pgMar w:footer="193" w:header="0" w:top="1520" w:bottom="380" w:left="200" w:right="80"/>
          <w:pgNumType w:start="30"/>
        </w:sect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9"/>
        <w:gridCol w:w="1205"/>
        <w:gridCol w:w="2137"/>
        <w:gridCol w:w="2289"/>
        <w:gridCol w:w="2148"/>
        <w:gridCol w:w="1247"/>
      </w:tblGrid>
      <w:tr>
        <w:trPr>
          <w:trHeight w:val="454" w:hRule="atLeast"/>
        </w:trPr>
        <w:tc>
          <w:tcPr>
            <w:tcW w:w="559" w:type="dxa"/>
            <w:vMerge w:val="restart"/>
          </w:tcPr>
          <w:p>
            <w:pPr>
              <w:pStyle w:val="TableParagraph"/>
              <w:rPr>
                <w:rFonts w:ascii="Times New Roman"/>
                <w:sz w:val="20"/>
              </w:rPr>
            </w:pPr>
          </w:p>
        </w:tc>
        <w:tc>
          <w:tcPr>
            <w:tcW w:w="1205" w:type="dxa"/>
            <w:vMerge w:val="restart"/>
          </w:tcPr>
          <w:p>
            <w:pPr>
              <w:pStyle w:val="TableParagraph"/>
              <w:rPr>
                <w:rFonts w:ascii="Times New Roman"/>
                <w:sz w:val="20"/>
              </w:rPr>
            </w:pPr>
          </w:p>
        </w:tc>
        <w:tc>
          <w:tcPr>
            <w:tcW w:w="2137" w:type="dxa"/>
            <w:vMerge w:val="restart"/>
          </w:tcPr>
          <w:p>
            <w:pPr>
              <w:pStyle w:val="TableParagraph"/>
              <w:spacing w:before="5"/>
              <w:rPr>
                <w:sz w:val="25"/>
              </w:rPr>
            </w:pPr>
          </w:p>
          <w:p>
            <w:pPr>
              <w:pStyle w:val="TableParagraph"/>
              <w:ind w:left="408"/>
              <w:rPr>
                <w:sz w:val="22"/>
              </w:rPr>
            </w:pPr>
            <w:r>
              <w:rPr>
                <w:sz w:val="22"/>
              </w:rPr>
              <w:t>生态效益指标</w:t>
            </w:r>
          </w:p>
        </w:tc>
        <w:tc>
          <w:tcPr>
            <w:tcW w:w="2289" w:type="dxa"/>
          </w:tcPr>
          <w:p>
            <w:pPr>
              <w:pStyle w:val="TableParagraph"/>
              <w:rPr>
                <w:rFonts w:ascii="Times New Roman"/>
                <w:sz w:val="20"/>
              </w:rPr>
            </w:pPr>
          </w:p>
        </w:tc>
        <w:tc>
          <w:tcPr>
            <w:tcW w:w="2148" w:type="dxa"/>
          </w:tcPr>
          <w:p>
            <w:pPr>
              <w:pStyle w:val="TableParagraph"/>
              <w:rPr>
                <w:rFonts w:ascii="Times New Roman"/>
                <w:sz w:val="20"/>
              </w:rPr>
            </w:pPr>
          </w:p>
        </w:tc>
        <w:tc>
          <w:tcPr>
            <w:tcW w:w="1247" w:type="dxa"/>
          </w:tcPr>
          <w:p>
            <w:pPr>
              <w:pStyle w:val="TableParagraph"/>
              <w:rPr>
                <w:rFonts w:ascii="Times New Roman"/>
                <w:sz w:val="20"/>
              </w:rPr>
            </w:pPr>
          </w:p>
        </w:tc>
      </w:tr>
      <w:tr>
        <w:trPr>
          <w:trHeight w:val="453" w:hRule="atLeast"/>
        </w:trPr>
        <w:tc>
          <w:tcPr>
            <w:tcW w:w="559" w:type="dxa"/>
            <w:vMerge/>
            <w:tcBorders>
              <w:top w:val="nil"/>
            </w:tcBorders>
          </w:tcPr>
          <w:p>
            <w:pPr>
              <w:rPr>
                <w:sz w:val="2"/>
                <w:szCs w:val="2"/>
              </w:rPr>
            </w:pPr>
          </w:p>
        </w:tc>
        <w:tc>
          <w:tcPr>
            <w:tcW w:w="1205" w:type="dxa"/>
            <w:vMerge/>
            <w:tcBorders>
              <w:top w:val="nil"/>
            </w:tcBorders>
          </w:tcPr>
          <w:p>
            <w:pPr>
              <w:rPr>
                <w:sz w:val="2"/>
                <w:szCs w:val="2"/>
              </w:rPr>
            </w:pPr>
          </w:p>
        </w:tc>
        <w:tc>
          <w:tcPr>
            <w:tcW w:w="2137" w:type="dxa"/>
            <w:vMerge/>
            <w:tcBorders>
              <w:top w:val="nil"/>
            </w:tcBorders>
          </w:tcPr>
          <w:p>
            <w:pPr>
              <w:rPr>
                <w:sz w:val="2"/>
                <w:szCs w:val="2"/>
              </w:rPr>
            </w:pPr>
          </w:p>
        </w:tc>
        <w:tc>
          <w:tcPr>
            <w:tcW w:w="2289" w:type="dxa"/>
          </w:tcPr>
          <w:p>
            <w:pPr>
              <w:pStyle w:val="TableParagraph"/>
              <w:rPr>
                <w:rFonts w:ascii="Times New Roman"/>
                <w:sz w:val="20"/>
              </w:rPr>
            </w:pPr>
          </w:p>
        </w:tc>
        <w:tc>
          <w:tcPr>
            <w:tcW w:w="2148" w:type="dxa"/>
          </w:tcPr>
          <w:p>
            <w:pPr>
              <w:pStyle w:val="TableParagraph"/>
              <w:rPr>
                <w:rFonts w:ascii="Times New Roman"/>
                <w:sz w:val="20"/>
              </w:rPr>
            </w:pPr>
          </w:p>
        </w:tc>
        <w:tc>
          <w:tcPr>
            <w:tcW w:w="1247" w:type="dxa"/>
          </w:tcPr>
          <w:p>
            <w:pPr>
              <w:pStyle w:val="TableParagraph"/>
              <w:rPr>
                <w:rFonts w:ascii="Times New Roman"/>
                <w:sz w:val="20"/>
              </w:rPr>
            </w:pPr>
          </w:p>
        </w:tc>
      </w:tr>
      <w:tr>
        <w:trPr>
          <w:trHeight w:val="951" w:hRule="atLeast"/>
        </w:trPr>
        <w:tc>
          <w:tcPr>
            <w:tcW w:w="559" w:type="dxa"/>
            <w:vMerge/>
            <w:tcBorders>
              <w:top w:val="nil"/>
            </w:tcBorders>
          </w:tcPr>
          <w:p>
            <w:pPr>
              <w:rPr>
                <w:sz w:val="2"/>
                <w:szCs w:val="2"/>
              </w:rPr>
            </w:pPr>
          </w:p>
        </w:tc>
        <w:tc>
          <w:tcPr>
            <w:tcW w:w="1205" w:type="dxa"/>
          </w:tcPr>
          <w:p>
            <w:pPr>
              <w:pStyle w:val="TableParagraph"/>
              <w:spacing w:line="266" w:lineRule="auto" w:before="187"/>
              <w:ind w:left="382" w:right="260" w:hanging="111"/>
              <w:rPr>
                <w:sz w:val="22"/>
              </w:rPr>
            </w:pPr>
            <w:r>
              <w:rPr>
                <w:sz w:val="22"/>
              </w:rPr>
              <w:t>满意度指标</w:t>
            </w:r>
          </w:p>
        </w:tc>
        <w:tc>
          <w:tcPr>
            <w:tcW w:w="2137" w:type="dxa"/>
          </w:tcPr>
          <w:p>
            <w:pPr>
              <w:pStyle w:val="TableParagraph"/>
              <w:spacing w:line="266" w:lineRule="auto" w:before="187"/>
              <w:ind w:left="516" w:right="506" w:firstLine="110"/>
              <w:rPr>
                <w:sz w:val="22"/>
              </w:rPr>
            </w:pPr>
            <w:r>
              <w:rPr>
                <w:sz w:val="22"/>
              </w:rPr>
              <w:t>服务对象满意度指标</w:t>
            </w:r>
          </w:p>
        </w:tc>
        <w:tc>
          <w:tcPr>
            <w:tcW w:w="2289" w:type="dxa"/>
          </w:tcPr>
          <w:p>
            <w:pPr>
              <w:pStyle w:val="TableParagraph"/>
              <w:spacing w:before="10"/>
              <w:rPr>
                <w:sz w:val="26"/>
              </w:rPr>
            </w:pPr>
          </w:p>
          <w:p>
            <w:pPr>
              <w:pStyle w:val="TableParagraph"/>
              <w:ind w:left="14"/>
              <w:rPr>
                <w:sz w:val="22"/>
              </w:rPr>
            </w:pPr>
            <w:r>
              <w:rPr>
                <w:sz w:val="22"/>
              </w:rPr>
              <w:t>服务对象满意度指标</w:t>
            </w:r>
          </w:p>
        </w:tc>
        <w:tc>
          <w:tcPr>
            <w:tcW w:w="2148" w:type="dxa"/>
          </w:tcPr>
          <w:p>
            <w:pPr>
              <w:pStyle w:val="TableParagraph"/>
              <w:spacing w:line="310" w:lineRule="atLeast" w:before="3"/>
              <w:ind w:left="14" w:right="4"/>
              <w:jc w:val="center"/>
              <w:rPr>
                <w:sz w:val="22"/>
              </w:rPr>
            </w:pPr>
            <w:r>
              <w:rPr>
                <w:spacing w:val="-17"/>
                <w:sz w:val="22"/>
              </w:rPr>
              <w:t>项目服务对象</w:t>
            </w:r>
            <w:r>
              <w:rPr>
                <w:spacing w:val="-3"/>
                <w:sz w:val="22"/>
              </w:rPr>
              <w:t>（</w:t>
            </w:r>
            <w:r>
              <w:rPr>
                <w:spacing w:val="-6"/>
                <w:sz w:val="22"/>
              </w:rPr>
              <w:t>消防人</w:t>
            </w:r>
            <w:r>
              <w:rPr>
                <w:sz w:val="22"/>
              </w:rPr>
              <w:t>员</w:t>
            </w:r>
            <w:r>
              <w:rPr>
                <w:spacing w:val="-3"/>
                <w:sz w:val="22"/>
              </w:rPr>
              <w:t>）</w:t>
            </w:r>
            <w:r>
              <w:rPr>
                <w:spacing w:val="-2"/>
                <w:sz w:val="22"/>
              </w:rPr>
              <w:t>指战员满意度≥ 95%</w:t>
            </w:r>
          </w:p>
        </w:tc>
        <w:tc>
          <w:tcPr>
            <w:tcW w:w="1247" w:type="dxa"/>
          </w:tcPr>
          <w:p>
            <w:pPr>
              <w:pStyle w:val="TableParagraph"/>
              <w:spacing w:before="10"/>
              <w:rPr>
                <w:sz w:val="26"/>
              </w:rPr>
            </w:pPr>
          </w:p>
          <w:p>
            <w:pPr>
              <w:pStyle w:val="TableParagraph"/>
              <w:ind w:left="325" w:right="318"/>
              <w:jc w:val="center"/>
              <w:rPr>
                <w:sz w:val="22"/>
              </w:rPr>
            </w:pPr>
            <w:r>
              <w:rPr>
                <w:sz w:val="22"/>
              </w:rPr>
              <w:t>10</w:t>
            </w:r>
          </w:p>
        </w:tc>
      </w:tr>
    </w:tbl>
    <w:sectPr>
      <w:pgSz w:w="11910" w:h="16840"/>
      <w:pgMar w:header="0" w:footer="193" w:top="1400" w:bottom="380" w:left="200" w:right="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黑体">
    <w:altName w:val="黑体"/>
    <w:charset w:val="86"/>
    <w:family w:val="modern"/>
    <w:pitch w:val="fixed"/>
  </w:font>
  <w:font w:name="宋体">
    <w:altName w:val="宋体"/>
    <w:charset w:val="86"/>
    <w:family w:val="auto"/>
    <w:pitch w:val="variable"/>
  </w:font>
  <w:font w:name="Microsoft JhengHei">
    <w:altName w:val="Microsoft JhengHei"/>
    <w:charset w:val="0"/>
    <w:family w:val="swiss"/>
    <w:pitch w:val="variable"/>
  </w:font>
  <w:font w:name="仿宋">
    <w:altName w:val="仿宋"/>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93.440002pt;margin-top:781.22998pt;width:8.5pt;height:12pt;mso-position-horizontal-relative:page;mso-position-vertical-relative:page;z-index:-255047680"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3.440002pt;margin-top:817.22998pt;width:8.5pt;height:12pt;mso-position-horizontal-relative:page;mso-position-vertical-relative:page;z-index:-255046656"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6</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2"/>
      </w:rPr>
    </w:pPr>
    <w:r>
      <w:rPr/>
      <w:pict>
        <v:shape style="position:absolute;margin-left:291.158997pt;margin-top:817.22998pt;width:13.1pt;height:12pt;mso-position-horizontal-relative:page;mso-position-vertical-relative:page;z-index:-255045632"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13</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1.158997pt;margin-top:817.22998pt;width:13.1pt;height:12pt;mso-position-horizontal-relative:page;mso-position-vertical-relative:page;z-index:-25504460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20</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2"/>
      </w:rPr>
    </w:pPr>
    <w:r>
      <w:rPr/>
      <w:pict>
        <v:shape style="position:absolute;margin-left:291.158997pt;margin-top:817.22998pt;width:13.1pt;height:12pt;mso-position-horizontal-relative:page;mso-position-vertical-relative:page;z-index:-255043584"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31</w:t>
                </w:r>
                <w:r>
                  <w:rPr/>
                  <w:fldChar w:fldCharType="end"/>
                </w:r>
              </w:p>
            </w:txbxContent>
          </v:textbox>
          <w10:wrap type="none"/>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28"/>
      <w:outlineLvl w:val="1"/>
    </w:pPr>
    <w:rPr>
      <w:rFonts w:ascii="黑体" w:hAnsi="黑体" w:eastAsia="黑体" w:cs="黑体"/>
      <w:b/>
      <w:bCs/>
      <w:sz w:val="52"/>
      <w:szCs w:val="52"/>
      <w:lang w:val="zh-CN" w:eastAsia="zh-CN" w:bidi="zh-CN"/>
    </w:rPr>
  </w:style>
  <w:style w:styleId="Heading2" w:type="paragraph">
    <w:name w:val="Heading 2"/>
    <w:basedOn w:val="Normal"/>
    <w:uiPriority w:val="1"/>
    <w:qFormat/>
    <w:pPr>
      <w:spacing w:before="417"/>
      <w:ind w:left="1797"/>
      <w:outlineLvl w:val="2"/>
    </w:pPr>
    <w:rPr>
      <w:rFonts w:ascii="宋体" w:hAnsi="宋体" w:eastAsia="宋体" w:cs="宋体"/>
      <w:b/>
      <w:bCs/>
      <w:sz w:val="48"/>
      <w:szCs w:val="48"/>
      <w:lang w:val="zh-CN" w:eastAsia="zh-CN" w:bidi="zh-CN"/>
    </w:rPr>
  </w:style>
  <w:style w:styleId="Heading3" w:type="paragraph">
    <w:name w:val="Heading 3"/>
    <w:basedOn w:val="Normal"/>
    <w:uiPriority w:val="1"/>
    <w:qFormat/>
    <w:pPr>
      <w:ind w:left="1856"/>
      <w:outlineLvl w:val="3"/>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jpeg"/><Relationship Id="rId11" Type="http://schemas.openxmlformats.org/officeDocument/2006/relationships/footer" Target="footer4.xml"/><Relationship Id="rId1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2025-11-28T02:04:41Z</dcterms:created>
  <dcterms:modified xsi:type="dcterms:W3CDTF">2025-11-28T02:04:41Z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2025-11-28T00:00:00Z</vt:filetime>
  </property>
  <property fmtid="{D5CDD505-2E9C-101B-9397-08002B2CF9AE}" pid="3" name="Creator">
    <vt:lpwstr>Aspose Ltd.</vt:lpwstr>
  </property>
  <property fmtid="{D5CDD505-2E9C-101B-9397-08002B2CF9AE}" pid="4" name="LastSaved">
    <vt:filetime>2025-11-28T00:00:00Z</vt:filetime>
  </property>
</Properties>
</file>