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哈巴河县消防救援大队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哈巴河县消防救援大队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哈巴河县消防救援大队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哈巴河县消防救援大队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哈巴河县消防救援大队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哈巴河县消防救援大队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哈巴河县消防救援大队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哈巴河县消防救援大队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哈巴河县消防救援大队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41.81</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41.81</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41.81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3.81</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41.81</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41.81</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41.81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41.81</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41.81</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38.00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哈巴河县消防救援大队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哈巴河县消防救援大队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哈巴河县消防救援大队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哈巴河县消防救援大队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41.81</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3.81</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41.81</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哈巴河县消防救援大队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8</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38</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38</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8</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26.67</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38</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38</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8</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26.67</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哈巴河县消防救援大队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哈巴河县消防救援大队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41.81</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41.81</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3.81</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9.11</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38</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90.89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41.81</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41.81</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哈巴河县消防救援大队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方正仿宋_GBK" w:cs="Times New Roman"/>
          <w:color w:val="auto"/>
          <w:sz w:val="32"/>
          <w:szCs w:val="32"/>
          <w:highlight w:val="none"/>
        </w:rPr>
        <w:t>截至2022年7月31日，共有车辆9辆，其中，应急保障用车0辆、执法执勤用车9辆、特种专业技术用车0辆、机要通信车0辆、其他用车0辆;单位价值50万元以上通用设备5台（套）；单位价值100万元以上专用设备0台（套）。</w:t>
      </w:r>
      <w:bookmarkStart w:id="5" w:name="_GoBack"/>
      <w:bookmarkEnd w:id="5"/>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哈巴河县消防救援大队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38</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2023年哈巴河县消防救援大队伙食补助费项目1个，涉及一般公共预算拨款38万元；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哈巴河县消防救援大队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哈巴河县消防救援大队伙食补助费项目绩效目标表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哈巴河县消防救援大队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41.81</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38</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3.81</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E34766"/>
    <w:rsid w:val="03C427E2"/>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4DA04DF"/>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11C1718"/>
    <w:rsid w:val="328078CC"/>
    <w:rsid w:val="32C73D4B"/>
    <w:rsid w:val="338804E0"/>
    <w:rsid w:val="33E7077A"/>
    <w:rsid w:val="33E977DA"/>
    <w:rsid w:val="346F52E9"/>
    <w:rsid w:val="34941857"/>
    <w:rsid w:val="34F22123"/>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E57404C"/>
    <w:rsid w:val="3E7A1DBD"/>
    <w:rsid w:val="3FC40C6B"/>
    <w:rsid w:val="402455C1"/>
    <w:rsid w:val="40FA4656"/>
    <w:rsid w:val="41174B60"/>
    <w:rsid w:val="411F03C0"/>
    <w:rsid w:val="41B761E1"/>
    <w:rsid w:val="430A3435"/>
    <w:rsid w:val="432D5990"/>
    <w:rsid w:val="44271EF9"/>
    <w:rsid w:val="443F5AC6"/>
    <w:rsid w:val="44A6550D"/>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115206"/>
    <w:rsid w:val="6329522E"/>
    <w:rsid w:val="63454B16"/>
    <w:rsid w:val="634F110A"/>
    <w:rsid w:val="642755A1"/>
    <w:rsid w:val="643B7135"/>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0</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2023-07-27T03:14:24Z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