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r>
        <w:rPr>
          <w:rFonts w:hint="eastAsia" w:eastAsia="隶书" w:cs="Times New Roman"/>
          <w:b/>
          <w:sz w:val="68"/>
          <w:szCs w:val="68"/>
          <w:lang w:val="en-US" w:eastAsia="zh-CN"/>
        </w:rPr>
        <w:t>昌吉市</w:t>
      </w:r>
      <w:r>
        <w:rPr>
          <w:rFonts w:hint="default" w:ascii="Times New Roman" w:hAnsi="Times New Roman" w:eastAsia="隶书" w:cs="Times New Roman"/>
          <w:b/>
          <w:sz w:val="68"/>
          <w:szCs w:val="68"/>
        </w:rPr>
        <w:t>消防救援</w:t>
      </w:r>
      <w:r>
        <w:rPr>
          <w:rFonts w:hint="eastAsia" w:eastAsia="隶书" w:cs="Times New Roman"/>
          <w:b/>
          <w:sz w:val="68"/>
          <w:szCs w:val="68"/>
          <w:lang w:val="en-US" w:eastAsia="zh-CN"/>
        </w:rPr>
        <w:t>大</w:t>
      </w:r>
      <w:r>
        <w:rPr>
          <w:rFonts w:hint="default" w:ascii="Times New Roman" w:hAnsi="Times New Roman" w:eastAsia="隶书" w:cs="Times New Roman"/>
          <w:b/>
          <w:sz w:val="68"/>
          <w:szCs w:val="68"/>
          <w:lang w:eastAsia="zh-CN"/>
        </w:rPr>
        <w:t>队</w:t>
      </w: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昌吉市消防救援大队</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default" w:ascii="Times New Roman" w:hAnsi="Times New Roman" w:eastAsia="黑体" w:cs="Times New Roman"/>
          <w:sz w:val="36"/>
          <w:szCs w:val="36"/>
          <w:lang w:val="en-US" w:eastAsia="zh-CN"/>
        </w:rPr>
        <w:t>昌吉市消防救援大队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昌吉市消防救援大队</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昌吉市消防救援大队</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昌吉市消防救援大队</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default" w:ascii="Times New Roman" w:hAnsi="Times New Roman" w:eastAsia="仿宋_GB2312" w:cs="Times New Roman"/>
          <w:sz w:val="32"/>
          <w:szCs w:val="30"/>
          <w:lang w:val="en-US" w:eastAsia="zh-CN"/>
        </w:rPr>
        <w:t>昌吉市消防救援大队</w:t>
      </w:r>
      <w:r>
        <w:rPr>
          <w:rFonts w:hint="default" w:ascii="Times New Roman" w:hAnsi="Times New Roman" w:eastAsia="仿宋_GB2312" w:cs="Times New Roman"/>
          <w:sz w:val="32"/>
          <w:szCs w:val="30"/>
        </w:rPr>
        <w:t>隶属</w:t>
      </w:r>
      <w:r>
        <w:rPr>
          <w:rFonts w:hint="eastAsia"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（二）承担火灾预防、消防监督执法以及火灾事故调查处理相关工作，依法行使消防安全综合监管职能，推动落实消防安全责任制。</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（三）参与拟订消防专项规划，参与起草地方性消防法规、规章草案并监督实施。</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（四）负责消防救援队伍综合性消防救援预案编制、战术研究和执勤备战、训练演练等工作。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（五）负责消防救援信息化和应急通信建设，承担综合性消防救援行动应急通信保障工作。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（六）负责消防安全宣传教育，组织指导社会消防力量建设。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highlight w:val="none"/>
          <w:lang w:val="en-US" w:eastAsia="zh-CN"/>
        </w:rPr>
      </w:pPr>
      <w:r>
        <w:rPr>
          <w:rFonts w:hint="default" w:ascii="Times New Roman" w:hAnsi="Times New Roman" w:eastAsia="仿宋_GB2312" w:cs="Times New Roman"/>
          <w:sz w:val="32"/>
          <w:szCs w:val="30"/>
          <w:highlight w:val="none"/>
          <w:lang w:val="en-US" w:eastAsia="zh-CN"/>
        </w:rPr>
        <w:t>（七）负责消防应急救援专业队伍规划、建设与调度指挥，参与组织协调动员各类社会救援力量参加救援任务。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（八）负责消防救援队伍建设与管理。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（九）完成应急管理部和所在自治区（区、市、州），党委政府交办的相关任务。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eastAsia="方正仿宋_GBK"/>
          <w:sz w:val="32"/>
          <w:szCs w:val="32"/>
        </w:rPr>
      </w:pPr>
      <w:r>
        <w:rPr>
          <w:rFonts w:hint="eastAsia" w:eastAsia="方正仿宋_GBK"/>
          <w:sz w:val="32"/>
          <w:szCs w:val="32"/>
          <w:lang w:eastAsia="zh-CN"/>
        </w:rPr>
        <w:t>昌吉市消防救援大队</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昌吉市消防救援大队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昌吉市消防救援大队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6"/>
        <w:tblW w:w="5043" w:type="pct"/>
        <w:tblInd w:w="0" w:type="dxa"/>
        <w:shd w:val="clear" w:color="auto" w:fill="auto"/>
        <w:tblLayout w:type="autofit"/>
        <w:tblCellMar>
          <w:top w:w="0" w:type="dxa"/>
          <w:left w:w="0" w:type="dxa"/>
          <w:bottom w:w="0" w:type="dxa"/>
          <w:right w:w="0" w:type="dxa"/>
        </w:tblCellMar>
      </w:tblPr>
      <w:tblGrid>
        <w:gridCol w:w="2853"/>
        <w:gridCol w:w="1520"/>
        <w:gridCol w:w="2652"/>
        <w:gridCol w:w="2153"/>
      </w:tblGrid>
      <w:tr>
        <w:tblPrEx>
          <w:shd w:val="clear" w:color="auto" w:fill="auto"/>
          <w:tblCellMar>
            <w:top w:w="0" w:type="dxa"/>
            <w:left w:w="0" w:type="dxa"/>
            <w:bottom w:w="0" w:type="dxa"/>
            <w:right w:w="0" w:type="dxa"/>
          </w:tblCellMar>
        </w:tblPrEx>
        <w:trPr>
          <w:trHeight w:val="1023"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部门收支总表</w:t>
            </w:r>
          </w:p>
        </w:tc>
      </w:tr>
      <w:tr>
        <w:tblPrEx>
          <w:tblCellMar>
            <w:top w:w="0" w:type="dxa"/>
            <w:left w:w="0" w:type="dxa"/>
            <w:bottom w:w="0" w:type="dxa"/>
            <w:right w:w="0" w:type="dxa"/>
          </w:tblCellMar>
        </w:tblPrEx>
        <w:trPr>
          <w:trHeight w:val="552" w:hRule="atLeast"/>
        </w:trPr>
        <w:tc>
          <w:tcPr>
            <w:tcW w:w="1554"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单位：昌吉市消防救援大队</w:t>
            </w:r>
          </w:p>
        </w:tc>
        <w:tc>
          <w:tcPr>
            <w:tcW w:w="827"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45"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72"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640" w:hRule="atLeast"/>
        </w:trPr>
        <w:tc>
          <w:tcPr>
            <w:tcW w:w="238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61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8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117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一、灾害防治及应急管理支出</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157.74</w:t>
            </w: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三、国有资本经营预算拨款收入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四、事业收入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五、事业单位经营收入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六、其他收入</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本年收入合计</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143.00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本年支出合计</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157.74</w:t>
            </w: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使用非财政拨款结余</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结转下年（非财政拨款）</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上年结转</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14.74</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40"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56" w:hRule="atLeast"/>
        </w:trPr>
        <w:tc>
          <w:tcPr>
            <w:tcW w:w="1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    总    计</w:t>
            </w:r>
          </w:p>
        </w:tc>
        <w:tc>
          <w:tcPr>
            <w:tcW w:w="8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157.74</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    总    计</w:t>
            </w:r>
          </w:p>
        </w:tc>
        <w:tc>
          <w:tcPr>
            <w:tcW w:w="11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157.74</w:t>
            </w:r>
          </w:p>
        </w:tc>
      </w:tr>
    </w:tbl>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tbl>
      <w:tblPr>
        <w:tblStyle w:val="6"/>
        <w:tblW w:w="4890" w:type="pct"/>
        <w:tblInd w:w="0" w:type="dxa"/>
        <w:shd w:val="clear" w:color="auto" w:fill="auto"/>
        <w:tblLayout w:type="autofit"/>
        <w:tblCellMar>
          <w:top w:w="0" w:type="dxa"/>
          <w:left w:w="0" w:type="dxa"/>
          <w:bottom w:w="0" w:type="dxa"/>
          <w:right w:w="0" w:type="dxa"/>
        </w:tblCellMar>
      </w:tblPr>
      <w:tblGrid>
        <w:gridCol w:w="397"/>
        <w:gridCol w:w="552"/>
        <w:gridCol w:w="532"/>
        <w:gridCol w:w="454"/>
        <w:gridCol w:w="454"/>
        <w:gridCol w:w="455"/>
        <w:gridCol w:w="455"/>
        <w:gridCol w:w="439"/>
        <w:gridCol w:w="510"/>
        <w:gridCol w:w="510"/>
        <w:gridCol w:w="455"/>
        <w:gridCol w:w="455"/>
        <w:gridCol w:w="455"/>
        <w:gridCol w:w="458"/>
        <w:gridCol w:w="455"/>
        <w:gridCol w:w="455"/>
        <w:gridCol w:w="501"/>
        <w:gridCol w:w="455"/>
        <w:gridCol w:w="453"/>
      </w:tblGrid>
      <w:tr>
        <w:tblPrEx>
          <w:shd w:val="clear" w:color="auto" w:fill="auto"/>
          <w:tblCellMar>
            <w:top w:w="0" w:type="dxa"/>
            <w:left w:w="0" w:type="dxa"/>
            <w:bottom w:w="0" w:type="dxa"/>
            <w:right w:w="0" w:type="dxa"/>
          </w:tblCellMar>
        </w:tblPrEx>
        <w:trPr>
          <w:trHeight w:val="1655" w:hRule="atLeast"/>
        </w:trPr>
        <w:tc>
          <w:tcPr>
            <w:tcW w:w="5000" w:type="pct"/>
            <w:gridSpan w:val="1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部门收入总表</w:t>
            </w:r>
          </w:p>
        </w:tc>
      </w:tr>
      <w:tr>
        <w:tblPrEx>
          <w:tblCellMar>
            <w:top w:w="0" w:type="dxa"/>
            <w:left w:w="0" w:type="dxa"/>
            <w:bottom w:w="0" w:type="dxa"/>
            <w:right w:w="0" w:type="dxa"/>
          </w:tblCellMar>
        </w:tblPrEx>
        <w:trPr>
          <w:trHeight w:val="751" w:hRule="atLeast"/>
        </w:trPr>
        <w:tc>
          <w:tcPr>
            <w:tcW w:w="4487" w:type="pct"/>
            <w:gridSpan w:val="1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单位：昌吉市消防救援大队</w:t>
            </w:r>
          </w:p>
        </w:tc>
        <w:tc>
          <w:tcPr>
            <w:tcW w:w="512" w:type="pct"/>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885" w:hRule="atLeast"/>
        </w:trPr>
        <w:tc>
          <w:tcPr>
            <w:tcW w:w="2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单位名称</w:t>
            </w:r>
          </w:p>
        </w:tc>
        <w:tc>
          <w:tcPr>
            <w:tcW w:w="31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571"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上年结转</w:t>
            </w:r>
          </w:p>
        </w:tc>
        <w:tc>
          <w:tcPr>
            <w:tcW w:w="2635"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使用非财政拨款结余</w:t>
            </w:r>
          </w:p>
        </w:tc>
      </w:tr>
      <w:tr>
        <w:tblPrEx>
          <w:tblCellMar>
            <w:top w:w="0" w:type="dxa"/>
            <w:left w:w="0" w:type="dxa"/>
            <w:bottom w:w="0" w:type="dxa"/>
            <w:right w:w="0" w:type="dxa"/>
          </w:tblCellMar>
        </w:tblPrEx>
        <w:trPr>
          <w:trHeight w:val="885"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一般公共预算结转资金</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政府性基金预算结转资金</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国有资本经营预算结转资金</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财政专户管理资金</w:t>
            </w:r>
          </w:p>
        </w:tc>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其他资金</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一般公共预算拨款</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政府性基金预算拨款</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国有资本经营预算拨款</w:t>
            </w:r>
          </w:p>
        </w:tc>
        <w:tc>
          <w:tcPr>
            <w:tcW w:w="514"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事业单位经营收入</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收入</w:t>
            </w:r>
          </w:p>
        </w:tc>
        <w:tc>
          <w:tcPr>
            <w:tcW w:w="27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上缴收入</w:t>
            </w:r>
          </w:p>
        </w:tc>
        <w:tc>
          <w:tcPr>
            <w:tcW w:w="25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476" w:hRule="atLeast"/>
        </w:trPr>
        <w:tc>
          <w:tcPr>
            <w:tcW w:w="2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0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c>
          <w:tcPr>
            <w:tcW w:w="2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其中：财政专户</w:t>
            </w: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5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644" w:hRule="atLeast"/>
        </w:trPr>
        <w:tc>
          <w:tcPr>
            <w:tcW w:w="2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昌吉市消防救援大队</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157.74</w:t>
            </w: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14.74</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14.74</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143.00</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143.00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632" w:hRule="atLeast"/>
        </w:trPr>
        <w:tc>
          <w:tcPr>
            <w:tcW w:w="2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31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157.74</w:t>
            </w:r>
          </w:p>
        </w:tc>
        <w:tc>
          <w:tcPr>
            <w:tcW w:w="30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14.74</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14.74</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143.00</w:t>
            </w:r>
          </w:p>
        </w:tc>
        <w:tc>
          <w:tcPr>
            <w:tcW w:w="2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143.00</w:t>
            </w: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pStyle w:val="2"/>
        <w:ind w:left="0" w:leftChars="0" w:firstLine="0" w:firstLineChars="0"/>
        <w:rPr>
          <w:rFonts w:hint="default" w:ascii="Times New Roman" w:hAnsi="Times New Roman" w:eastAsia="黑体" w:cs="Times New Roman"/>
          <w:b/>
          <w:sz w:val="36"/>
          <w:szCs w:val="36"/>
        </w:rPr>
      </w:pPr>
    </w:p>
    <w:tbl>
      <w:tblPr>
        <w:tblStyle w:val="6"/>
        <w:tblW w:w="4989" w:type="pct"/>
        <w:tblInd w:w="0" w:type="dxa"/>
        <w:shd w:val="clear" w:color="auto" w:fill="auto"/>
        <w:tblLayout w:type="autofit"/>
        <w:tblCellMar>
          <w:top w:w="0" w:type="dxa"/>
          <w:left w:w="0" w:type="dxa"/>
          <w:bottom w:w="0" w:type="dxa"/>
          <w:right w:w="0" w:type="dxa"/>
        </w:tblCellMar>
      </w:tblPr>
      <w:tblGrid>
        <w:gridCol w:w="594"/>
        <w:gridCol w:w="1898"/>
        <w:gridCol w:w="1093"/>
        <w:gridCol w:w="1093"/>
        <w:gridCol w:w="1093"/>
        <w:gridCol w:w="1093"/>
        <w:gridCol w:w="1115"/>
        <w:gridCol w:w="1101"/>
      </w:tblGrid>
      <w:tr>
        <w:tblPrEx>
          <w:shd w:val="clear" w:color="auto" w:fill="auto"/>
          <w:tblCellMar>
            <w:top w:w="0" w:type="dxa"/>
            <w:left w:w="0" w:type="dxa"/>
            <w:bottom w:w="0" w:type="dxa"/>
            <w:right w:w="0" w:type="dxa"/>
          </w:tblCellMar>
        </w:tblPrEx>
        <w:trPr>
          <w:trHeight w:val="2380" w:hRule="atLeast"/>
        </w:trPr>
        <w:tc>
          <w:tcPr>
            <w:tcW w:w="5000" w:type="pct"/>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部门支出总表</w:t>
            </w:r>
          </w:p>
        </w:tc>
      </w:tr>
      <w:tr>
        <w:tblPrEx>
          <w:tblCellMar>
            <w:top w:w="0" w:type="dxa"/>
            <w:left w:w="0" w:type="dxa"/>
            <w:bottom w:w="0" w:type="dxa"/>
            <w:right w:w="0" w:type="dxa"/>
          </w:tblCellMar>
        </w:tblPrEx>
        <w:trPr>
          <w:trHeight w:val="1229" w:hRule="atLeast"/>
        </w:trPr>
        <w:tc>
          <w:tcPr>
            <w:tcW w:w="4394" w:type="pct"/>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单位：昌吉市消防救援大队</w:t>
            </w:r>
          </w:p>
        </w:tc>
        <w:tc>
          <w:tcPr>
            <w:tcW w:w="605"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2418"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上缴上级支出</w:t>
            </w:r>
          </w:p>
        </w:tc>
        <w:tc>
          <w:tcPr>
            <w:tcW w:w="6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事业单位经营支出</w:t>
            </w: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对附属单位补助支出</w:t>
            </w:r>
          </w:p>
        </w:tc>
      </w:tr>
      <w:tr>
        <w:tblPrEx>
          <w:tblCellMar>
            <w:top w:w="0" w:type="dxa"/>
            <w:left w:w="0" w:type="dxa"/>
            <w:bottom w:w="0" w:type="dxa"/>
            <w:right w:w="0" w:type="dxa"/>
          </w:tblCellMar>
        </w:tblPrEx>
        <w:trPr>
          <w:trHeight w:val="1769"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灾害防治及应急管理支出</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157.74</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157.74</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769"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消防救援事务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157.74</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157.74</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418"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2240204</w:t>
            </w: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消防应急救援</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157.74</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157.74</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80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157.74</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157.74</w:t>
            </w:r>
          </w:p>
        </w:tc>
        <w:tc>
          <w:tcPr>
            <w:tcW w:w="60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1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tbl>
      <w:tblPr>
        <w:tblStyle w:val="6"/>
        <w:tblW w:w="4923" w:type="pct"/>
        <w:tblInd w:w="0" w:type="dxa"/>
        <w:shd w:val="clear" w:color="auto" w:fill="auto"/>
        <w:tblLayout w:type="autofit"/>
        <w:tblCellMar>
          <w:top w:w="0" w:type="dxa"/>
          <w:left w:w="0" w:type="dxa"/>
          <w:bottom w:w="0" w:type="dxa"/>
          <w:right w:w="0" w:type="dxa"/>
        </w:tblCellMar>
      </w:tblPr>
      <w:tblGrid>
        <w:gridCol w:w="2398"/>
        <w:gridCol w:w="1987"/>
        <w:gridCol w:w="2586"/>
        <w:gridCol w:w="1989"/>
      </w:tblGrid>
      <w:tr>
        <w:tblPrEx>
          <w:shd w:val="clear" w:color="auto" w:fill="auto"/>
          <w:tblCellMar>
            <w:top w:w="0" w:type="dxa"/>
            <w:left w:w="0" w:type="dxa"/>
            <w:bottom w:w="0" w:type="dxa"/>
            <w:right w:w="0" w:type="dxa"/>
          </w:tblCellMar>
        </w:tblPrEx>
        <w:trPr>
          <w:trHeight w:val="1286"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财政拨款收支总表</w:t>
            </w:r>
          </w:p>
        </w:tc>
      </w:tr>
      <w:tr>
        <w:tblPrEx>
          <w:tblCellMar>
            <w:top w:w="0" w:type="dxa"/>
            <w:left w:w="0" w:type="dxa"/>
            <w:bottom w:w="0" w:type="dxa"/>
            <w:right w:w="0" w:type="dxa"/>
          </w:tblCellMar>
        </w:tblPrEx>
        <w:trPr>
          <w:trHeight w:val="658" w:hRule="atLeast"/>
        </w:trPr>
        <w:tc>
          <w:tcPr>
            <w:tcW w:w="3890" w:type="pct"/>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单位：昌吉市消防救援大队</w:t>
            </w:r>
          </w:p>
        </w:tc>
        <w:tc>
          <w:tcPr>
            <w:tcW w:w="1109"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678" w:hRule="atLeast"/>
        </w:trPr>
        <w:tc>
          <w:tcPr>
            <w:tcW w:w="244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55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0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一、本年收入</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143.00</w:t>
            </w: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一、本年支出</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157.74</w:t>
            </w: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143.00</w:t>
            </w: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（一）灾害防治及应急管理支出</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157.74</w:t>
            </w: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二、上年结转</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14.74</w:t>
            </w: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14.74</w:t>
            </w: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7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698" w:hRule="atLeast"/>
        </w:trPr>
        <w:tc>
          <w:tcPr>
            <w:tcW w:w="133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收    入    总    计</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157.74</w:t>
            </w:r>
          </w:p>
        </w:tc>
        <w:tc>
          <w:tcPr>
            <w:tcW w:w="144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支    出    总    计</w:t>
            </w:r>
          </w:p>
        </w:tc>
        <w:tc>
          <w:tcPr>
            <w:tcW w:w="110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157.74</w:t>
            </w:r>
          </w:p>
        </w:tc>
      </w:tr>
    </w:tbl>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6"/>
        <w:tblW w:w="4912" w:type="pct"/>
        <w:tblInd w:w="0" w:type="dxa"/>
        <w:shd w:val="clear" w:color="auto" w:fill="auto"/>
        <w:tblLayout w:type="autofit"/>
        <w:tblCellMar>
          <w:top w:w="0" w:type="dxa"/>
          <w:left w:w="0" w:type="dxa"/>
          <w:bottom w:w="0" w:type="dxa"/>
          <w:right w:w="0" w:type="dxa"/>
        </w:tblCellMar>
      </w:tblPr>
      <w:tblGrid>
        <w:gridCol w:w="1150"/>
        <w:gridCol w:w="2230"/>
        <w:gridCol w:w="1105"/>
        <w:gridCol w:w="1105"/>
        <w:gridCol w:w="1105"/>
        <w:gridCol w:w="1130"/>
        <w:gridCol w:w="1115"/>
      </w:tblGrid>
      <w:tr>
        <w:tblPrEx>
          <w:shd w:val="clear" w:color="auto" w:fill="auto"/>
          <w:tblCellMar>
            <w:top w:w="0" w:type="dxa"/>
            <w:left w:w="0" w:type="dxa"/>
            <w:bottom w:w="0" w:type="dxa"/>
            <w:right w:w="0" w:type="dxa"/>
          </w:tblCellMar>
        </w:tblPrEx>
        <w:trPr>
          <w:trHeight w:val="1865"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一般公共预算支出表</w:t>
            </w:r>
          </w:p>
        </w:tc>
      </w:tr>
      <w:tr>
        <w:tblPrEx>
          <w:tblCellMar>
            <w:top w:w="0" w:type="dxa"/>
            <w:left w:w="0" w:type="dxa"/>
            <w:bottom w:w="0" w:type="dxa"/>
            <w:right w:w="0" w:type="dxa"/>
          </w:tblCellMar>
        </w:tblPrEx>
        <w:trPr>
          <w:trHeight w:val="1013" w:hRule="atLeast"/>
        </w:trPr>
        <w:tc>
          <w:tcPr>
            <w:tcW w:w="4370"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单位：昌吉市消防救援大队</w:t>
            </w:r>
          </w:p>
        </w:tc>
        <w:tc>
          <w:tcPr>
            <w:tcW w:w="629"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1486" w:hRule="atLeast"/>
        </w:trPr>
        <w:tc>
          <w:tcPr>
            <w:tcW w:w="6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22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313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本年一般公共预算支出</w:t>
            </w:r>
          </w:p>
        </w:tc>
      </w:tr>
      <w:tr>
        <w:tblPrEx>
          <w:tblCellMar>
            <w:top w:w="0" w:type="dxa"/>
            <w:left w:w="0" w:type="dxa"/>
            <w:bottom w:w="0" w:type="dxa"/>
            <w:right w:w="0" w:type="dxa"/>
          </w:tblCellMar>
        </w:tblPrEx>
        <w:trPr>
          <w:trHeight w:val="1313" w:hRule="atLeast"/>
        </w:trPr>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885"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1486" w:hRule="atLeast"/>
        </w:trPr>
        <w:tc>
          <w:tcPr>
            <w:tcW w:w="6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22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6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63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1182" w:hRule="atLeast"/>
        </w:trPr>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12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灾害防治及应急管理支出</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143.00</w:t>
            </w:r>
          </w:p>
        </w:tc>
      </w:tr>
      <w:tr>
        <w:tblPrEx>
          <w:tblCellMar>
            <w:top w:w="0" w:type="dxa"/>
            <w:left w:w="0" w:type="dxa"/>
            <w:bottom w:w="0" w:type="dxa"/>
            <w:right w:w="0" w:type="dxa"/>
          </w:tblCellMar>
        </w:tblPrEx>
        <w:trPr>
          <w:trHeight w:val="1182" w:hRule="atLeast"/>
        </w:trPr>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w:t>
            </w:r>
          </w:p>
        </w:tc>
        <w:tc>
          <w:tcPr>
            <w:tcW w:w="12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消防救援事务</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143.00</w:t>
            </w:r>
          </w:p>
        </w:tc>
      </w:tr>
      <w:tr>
        <w:tblPrEx>
          <w:tblCellMar>
            <w:top w:w="0" w:type="dxa"/>
            <w:left w:w="0" w:type="dxa"/>
            <w:bottom w:w="0" w:type="dxa"/>
            <w:right w:w="0" w:type="dxa"/>
          </w:tblCellMar>
        </w:tblPrEx>
        <w:trPr>
          <w:trHeight w:val="1182" w:hRule="atLeast"/>
        </w:trPr>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2240204</w:t>
            </w:r>
          </w:p>
        </w:tc>
        <w:tc>
          <w:tcPr>
            <w:tcW w:w="12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消防应急救援</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143.00</w:t>
            </w:r>
          </w:p>
        </w:tc>
      </w:tr>
      <w:tr>
        <w:tblPrEx>
          <w:tblCellMar>
            <w:top w:w="0" w:type="dxa"/>
            <w:left w:w="0" w:type="dxa"/>
            <w:bottom w:w="0" w:type="dxa"/>
            <w:right w:w="0" w:type="dxa"/>
          </w:tblCellMar>
        </w:tblPrEx>
        <w:trPr>
          <w:trHeight w:val="1221" w:hRule="atLeast"/>
        </w:trPr>
        <w:tc>
          <w:tcPr>
            <w:tcW w:w="6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2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lang w:val="en-US" w:eastAsia="zh-CN" w:bidi="ar"/>
              </w:rPr>
              <w:t>合               计</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143.00</w:t>
            </w: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2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143.00</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952"/>
        <w:gridCol w:w="2806"/>
        <w:gridCol w:w="1780"/>
        <w:gridCol w:w="1780"/>
        <w:gridCol w:w="1782"/>
      </w:tblGrid>
      <w:tr>
        <w:tblPrEx>
          <w:tblCellMar>
            <w:top w:w="0" w:type="dxa"/>
            <w:left w:w="0" w:type="dxa"/>
            <w:bottom w:w="0" w:type="dxa"/>
            <w:right w:w="0" w:type="dxa"/>
          </w:tblCellMar>
        </w:tblPrEx>
        <w:trPr>
          <w:trHeight w:val="675"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15" w:hRule="atLeast"/>
        </w:trPr>
        <w:tc>
          <w:tcPr>
            <w:tcW w:w="4021"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单位：昌吉市消防救援大队</w:t>
            </w:r>
          </w:p>
        </w:tc>
        <w:tc>
          <w:tcPr>
            <w:tcW w:w="978"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375" w:hRule="atLeast"/>
        </w:trPr>
        <w:tc>
          <w:tcPr>
            <w:tcW w:w="20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7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75"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7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shd w:val="clear" w:color="auto" w:fill="auto"/>
        <w:tblLayout w:type="autofit"/>
        <w:tblCellMar>
          <w:top w:w="0" w:type="dxa"/>
          <w:left w:w="0" w:type="dxa"/>
          <w:bottom w:w="0" w:type="dxa"/>
          <w:right w:w="0" w:type="dxa"/>
        </w:tblCellMar>
      </w:tblPr>
      <w:tblGrid>
        <w:gridCol w:w="2059"/>
        <w:gridCol w:w="2725"/>
        <w:gridCol w:w="521"/>
        <w:gridCol w:w="521"/>
        <w:gridCol w:w="1006"/>
        <w:gridCol w:w="1016"/>
        <w:gridCol w:w="125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政府性基金预算支出表</w:t>
            </w:r>
          </w:p>
        </w:tc>
      </w:tr>
      <w:tr>
        <w:tblPrEx>
          <w:tblCellMar>
            <w:top w:w="0" w:type="dxa"/>
            <w:left w:w="0" w:type="dxa"/>
            <w:bottom w:w="0" w:type="dxa"/>
            <w:right w:w="0" w:type="dxa"/>
          </w:tblCellMar>
        </w:tblPrEx>
        <w:trPr>
          <w:trHeight w:val="315" w:hRule="atLeast"/>
        </w:trPr>
        <w:tc>
          <w:tcPr>
            <w:tcW w:w="4312"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单位：昌吉市消防救援大队</w:t>
            </w:r>
          </w:p>
        </w:tc>
        <w:tc>
          <w:tcPr>
            <w:tcW w:w="68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11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49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9"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本年政府性基金预算支出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95"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8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11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9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8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375" w:hRule="atLeast"/>
        </w:trPr>
        <w:tc>
          <w:tcPr>
            <w:tcW w:w="11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b/>
                <w:i w:val="0"/>
                <w:color w:val="000000"/>
                <w:sz w:val="20"/>
                <w:szCs w:val="20"/>
                <w:u w:val="none"/>
              </w:rPr>
            </w:pPr>
          </w:p>
        </w:tc>
        <w:tc>
          <w:tcPr>
            <w:tcW w:w="14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c>
          <w:tcPr>
            <w:tcW w:w="68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130"/>
        <w:gridCol w:w="3129"/>
        <w:gridCol w:w="473"/>
        <w:gridCol w:w="473"/>
        <w:gridCol w:w="917"/>
        <w:gridCol w:w="1836"/>
        <w:gridCol w:w="1142"/>
      </w:tblGrid>
      <w:tr>
        <w:tblPrEx>
          <w:shd w:val="clear" w:color="auto" w:fill="auto"/>
          <w:tblCellMar>
            <w:top w:w="0" w:type="dxa"/>
            <w:left w:w="0" w:type="dxa"/>
            <w:bottom w:w="0" w:type="dxa"/>
            <w:right w:w="0" w:type="dxa"/>
          </w:tblCellMar>
        </w:tblPrEx>
        <w:trPr>
          <w:trHeight w:val="660"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国有资本经营预算支出表</w:t>
            </w:r>
          </w:p>
        </w:tc>
      </w:tr>
      <w:tr>
        <w:tblPrEx>
          <w:tblCellMar>
            <w:top w:w="0" w:type="dxa"/>
            <w:left w:w="0" w:type="dxa"/>
            <w:bottom w:w="0" w:type="dxa"/>
            <w:right w:w="0" w:type="dxa"/>
          </w:tblCellMar>
        </w:tblPrEx>
        <w:trPr>
          <w:trHeight w:val="315" w:hRule="atLeast"/>
        </w:trPr>
        <w:tc>
          <w:tcPr>
            <w:tcW w:w="437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单位：昌吉市消防救援大队</w:t>
            </w:r>
          </w:p>
        </w:tc>
        <w:tc>
          <w:tcPr>
            <w:tcW w:w="62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65" w:hRule="atLeast"/>
        </w:trPr>
        <w:tc>
          <w:tcPr>
            <w:tcW w:w="62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171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658"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本年国有资本经营预算支出</w:t>
            </w:r>
          </w:p>
        </w:tc>
      </w:tr>
      <w:tr>
        <w:tblPrEx>
          <w:tblCellMar>
            <w:top w:w="0" w:type="dxa"/>
            <w:left w:w="0" w:type="dxa"/>
            <w:bottom w:w="0" w:type="dxa"/>
            <w:right w:w="0" w:type="dxa"/>
          </w:tblCellMar>
        </w:tblPrEx>
        <w:trPr>
          <w:trHeight w:val="375"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771"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6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420" w:hRule="atLeast"/>
        </w:trPr>
        <w:tc>
          <w:tcPr>
            <w:tcW w:w="62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1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10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6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6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17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合        计</w:t>
            </w: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00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6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shd w:val="clear" w:color="auto" w:fill="auto"/>
        <w:tblLayout w:type="autofit"/>
        <w:tblCellMar>
          <w:top w:w="0" w:type="dxa"/>
          <w:left w:w="0" w:type="dxa"/>
          <w:bottom w:w="0" w:type="dxa"/>
          <w:right w:w="0" w:type="dxa"/>
        </w:tblCellMar>
      </w:tblPr>
      <w:tblGrid>
        <w:gridCol w:w="1514"/>
        <w:gridCol w:w="1514"/>
        <w:gridCol w:w="1514"/>
        <w:gridCol w:w="1514"/>
        <w:gridCol w:w="1525"/>
        <w:gridCol w:w="1519"/>
      </w:tblGrid>
      <w:tr>
        <w:tblPrEx>
          <w:tblCellMar>
            <w:top w:w="0" w:type="dxa"/>
            <w:left w:w="0" w:type="dxa"/>
            <w:bottom w:w="0" w:type="dxa"/>
            <w:right w:w="0" w:type="dxa"/>
          </w:tblCellMar>
        </w:tblPrEx>
        <w:trPr>
          <w:trHeight w:val="750" w:hRule="atLeast"/>
        </w:trPr>
        <w:tc>
          <w:tcPr>
            <w:tcW w:w="5000" w:type="pct"/>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财政拨款预算“三公”经费支出表</w:t>
            </w:r>
          </w:p>
        </w:tc>
      </w:tr>
      <w:tr>
        <w:tblPrEx>
          <w:tblCellMar>
            <w:top w:w="0" w:type="dxa"/>
            <w:left w:w="0" w:type="dxa"/>
            <w:bottom w:w="0" w:type="dxa"/>
            <w:right w:w="0" w:type="dxa"/>
          </w:tblCellMar>
        </w:tblPrEx>
        <w:trPr>
          <w:trHeight w:val="390" w:hRule="atLeast"/>
        </w:trPr>
        <w:tc>
          <w:tcPr>
            <w:tcW w:w="4166" w:type="pct"/>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单位：昌吉市消防救援大队</w:t>
            </w:r>
          </w:p>
        </w:tc>
        <w:tc>
          <w:tcPr>
            <w:tcW w:w="833"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公务接待费</w:t>
            </w:r>
          </w:p>
        </w:tc>
      </w:tr>
      <w:tr>
        <w:tblPrEx>
          <w:tblCellMar>
            <w:top w:w="0" w:type="dxa"/>
            <w:left w:w="0" w:type="dxa"/>
            <w:bottom w:w="0" w:type="dxa"/>
            <w:right w:w="0"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微软雅黑" w:hAnsi="微软雅黑" w:eastAsia="微软雅黑" w:cs="微软雅黑"/>
                <w:i w:val="0"/>
                <w:color w:val="000000"/>
                <w:sz w:val="20"/>
                <w:szCs w:val="20"/>
                <w:u w:val="none"/>
              </w:rPr>
            </w:pP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Arial" w:hAnsi="Arial" w:cs="Arial"/>
                <w:i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昌吉市消防救援大队</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昌吉市消防救援大队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昌吉市消防救援大队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157.74</w:t>
      </w:r>
      <w:r>
        <w:rPr>
          <w:rFonts w:hint="default" w:ascii="Times New Roman" w:hAnsi="Times New Roman" w:eastAsia="仿宋_GB2312" w:cs="Times New Roman"/>
          <w:sz w:val="32"/>
          <w:szCs w:val="30"/>
        </w:rPr>
        <w:t>万元。收入为一般公共预算拨款，包括：一般公共预算拨款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143</w:t>
      </w:r>
      <w:r>
        <w:rPr>
          <w:rFonts w:hint="default" w:ascii="Times New Roman" w:hAnsi="Times New Roman" w:eastAsia="仿宋_GB2312" w:cs="Times New Roman"/>
          <w:sz w:val="32"/>
          <w:szCs w:val="30"/>
        </w:rPr>
        <w:t>万元，上年结转</w:t>
      </w:r>
      <w:r>
        <w:rPr>
          <w:rFonts w:hint="eastAsia" w:eastAsia="仿宋_GB2312" w:cs="Times New Roman"/>
          <w:sz w:val="32"/>
          <w:szCs w:val="30"/>
          <w:lang w:val="en-US" w:eastAsia="zh-CN"/>
        </w:rPr>
        <w:t>14.74</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支出</w:t>
      </w:r>
      <w:r>
        <w:rPr>
          <w:rFonts w:hint="eastAsia" w:eastAsia="仿宋_GB2312" w:cs="Times New Roman"/>
          <w:sz w:val="32"/>
          <w:szCs w:val="30"/>
          <w:lang w:eastAsia="zh-CN"/>
        </w:rPr>
        <w:t>为</w:t>
      </w:r>
      <w:r>
        <w:rPr>
          <w:rFonts w:hint="default" w:ascii="Times New Roman" w:hAnsi="Times New Roman" w:eastAsia="仿宋_GB2312" w:cs="Times New Roman"/>
          <w:sz w:val="32"/>
          <w:szCs w:val="30"/>
        </w:rPr>
        <w:t>灾害防治及应急管理支出</w:t>
      </w:r>
      <w:r>
        <w:rPr>
          <w:rFonts w:hint="eastAsia" w:eastAsia="仿宋_GB2312" w:cs="Times New Roman"/>
          <w:sz w:val="32"/>
          <w:szCs w:val="30"/>
          <w:lang w:val="en-US" w:eastAsia="zh-CN"/>
        </w:rPr>
        <w:t>157.74</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pStyle w:val="2"/>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default" w:ascii="Times New Roman" w:hAnsi="Times New Roman" w:eastAsia="方正黑体_GBK" w:cs="Times New Roman"/>
          <w:b w:val="0"/>
          <w:bCs w:val="0"/>
          <w:sz w:val="32"/>
          <w:szCs w:val="32"/>
          <w:lang w:val="en-US" w:eastAsia="zh-CN"/>
        </w:rPr>
        <w:t>昌吉市消防救援大队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eastAsia" w:eastAsia="仿宋_GB2312" w:cs="Times New Roman"/>
          <w:sz w:val="32"/>
          <w:szCs w:val="30"/>
          <w:lang w:val="zh-CN" w:eastAsia="zh-CN"/>
        </w:rPr>
        <w:t>昌吉市消防救援大队</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eastAsia="仿宋_GB2312" w:cs="Times New Roman"/>
          <w:sz w:val="32"/>
          <w:szCs w:val="30"/>
          <w:lang w:val="en-US" w:eastAsia="zh-CN"/>
        </w:rPr>
        <w:t>143</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53</w:t>
      </w:r>
      <w:r>
        <w:rPr>
          <w:rFonts w:hint="default" w:ascii="Times New Roman" w:hAnsi="Times New Roman" w:eastAsia="仿宋_GB2312" w:cs="Times New Roman"/>
          <w:sz w:val="32"/>
          <w:szCs w:val="30"/>
          <w:lang w:val="zh-CN"/>
        </w:rPr>
        <w:t>万元。</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w:t>
      </w:r>
      <w:r>
        <w:rPr>
          <w:rFonts w:hint="eastAsia" w:eastAsia="仿宋_GB2312" w:cs="Times New Roman"/>
          <w:sz w:val="32"/>
          <w:szCs w:val="30"/>
          <w:lang w:val="zh-CN"/>
        </w:rPr>
        <w:t>。</w:t>
      </w:r>
      <w:r>
        <w:rPr>
          <w:rFonts w:hint="default" w:ascii="Times New Roman" w:hAnsi="Times New Roman" w:eastAsia="仿宋_GB2312" w:cs="Times New Roman"/>
          <w:sz w:val="32"/>
          <w:szCs w:val="30"/>
          <w:lang w:val="zh-CN"/>
        </w:rPr>
        <w:t>体现在有关支出科目中</w:t>
      </w:r>
      <w:r>
        <w:rPr>
          <w:rFonts w:hint="eastAsia" w:ascii="Times New Roman" w:hAnsi="Times New Roman" w:eastAsia="仿宋_GB2312" w:cs="Times New Roman"/>
          <w:sz w:val="32"/>
          <w:szCs w:val="30"/>
          <w:lang w:val="zh-CN"/>
        </w:rPr>
        <w:t>，</w:t>
      </w:r>
      <w:r>
        <w:rPr>
          <w:rFonts w:hint="eastAsia" w:eastAsia="方正仿宋_GBK"/>
          <w:sz w:val="32"/>
          <w:szCs w:val="32"/>
          <w:lang w:val="zh-CN"/>
        </w:rPr>
        <w:t>其中</w:t>
      </w:r>
      <w:r>
        <w:rPr>
          <w:rFonts w:eastAsia="方正仿宋_GBK"/>
          <w:sz w:val="32"/>
          <w:szCs w:val="32"/>
        </w:rPr>
        <w:t>灾害防治及应急管理支出</w:t>
      </w:r>
      <w:r>
        <w:rPr>
          <w:rFonts w:hint="eastAsia" w:eastAsia="方正仿宋_GBK"/>
          <w:sz w:val="32"/>
          <w:szCs w:val="32"/>
          <w:lang w:val="zh-CN"/>
        </w:rPr>
        <w:t>增加了</w:t>
      </w:r>
      <w:r>
        <w:rPr>
          <w:rFonts w:hint="eastAsia" w:eastAsia="方正仿宋_GBK"/>
          <w:sz w:val="32"/>
          <w:szCs w:val="32"/>
          <w:lang w:val="en-US" w:eastAsia="zh-CN"/>
        </w:rPr>
        <w:t>53</w:t>
      </w:r>
      <w:r>
        <w:rPr>
          <w:rFonts w:hint="eastAsia" w:eastAsia="方正仿宋_GBK"/>
          <w:sz w:val="32"/>
          <w:szCs w:val="32"/>
        </w:rPr>
        <w:t>万元</w:t>
      </w:r>
      <w:r>
        <w:rPr>
          <w:rFonts w:eastAsia="方正仿宋_GBK"/>
          <w:sz w:val="32"/>
          <w:szCs w:val="32"/>
          <w:lang w:val="zh-CN"/>
        </w:rPr>
        <w:t>。</w:t>
      </w:r>
      <w:r>
        <w:rPr>
          <w:rFonts w:hint="eastAsia" w:ascii="Times New Roman" w:hAnsi="Times New Roman" w:eastAsia="仿宋_GB2312" w:cs="Times New Roman"/>
          <w:sz w:val="32"/>
          <w:szCs w:val="30"/>
          <w:lang w:val="en-US" w:eastAsia="zh-CN"/>
        </w:rPr>
        <w:t>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%；卫生健康支出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万元，占比</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157.74</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100</w:t>
      </w:r>
      <w:r>
        <w:rPr>
          <w:rFonts w:hint="default" w:ascii="Times New Roman" w:hAnsi="Times New Roman" w:eastAsia="仿宋_GB2312" w:cs="Times New Roman"/>
          <w:sz w:val="32"/>
          <w:szCs w:val="30"/>
        </w:rPr>
        <w:t>%；住房保障支出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810000"/>
            <wp:effectExtent l="4445" t="4445" r="8255" b="825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20" w:lineRule="exact"/>
        <w:ind w:firstLine="640" w:firstLineChars="200"/>
        <w:rPr>
          <w:rFonts w:eastAsia="方正仿宋_GBK"/>
          <w:b/>
          <w:bCs/>
          <w:snapToGrid w:val="0"/>
          <w:color w:val="000000"/>
          <w:kern w:val="0"/>
          <w:sz w:val="32"/>
          <w:szCs w:val="32"/>
        </w:rPr>
      </w:pPr>
      <w:r>
        <w:rPr>
          <w:rFonts w:eastAsia="方正仿宋_GBK"/>
          <w:color w:val="000000"/>
          <w:kern w:val="0"/>
          <w:sz w:val="32"/>
          <w:szCs w:val="32"/>
        </w:rPr>
        <w:t>按照支出功能分类，202</w:t>
      </w:r>
      <w:r>
        <w:rPr>
          <w:rFonts w:hint="eastAsia" w:eastAsia="方正仿宋_GBK"/>
          <w:color w:val="000000"/>
          <w:kern w:val="0"/>
          <w:sz w:val="32"/>
          <w:szCs w:val="32"/>
        </w:rPr>
        <w:t>3</w:t>
      </w:r>
      <w:r>
        <w:rPr>
          <w:rFonts w:eastAsia="方正仿宋_GBK"/>
          <w:color w:val="000000"/>
          <w:kern w:val="0"/>
          <w:sz w:val="32"/>
          <w:szCs w:val="32"/>
        </w:rPr>
        <w:t>年预算数比202</w:t>
      </w:r>
      <w:r>
        <w:rPr>
          <w:rFonts w:hint="eastAsia" w:eastAsia="方正仿宋_GBK"/>
          <w:color w:val="000000"/>
          <w:kern w:val="0"/>
          <w:sz w:val="32"/>
          <w:szCs w:val="32"/>
        </w:rPr>
        <w:t>2</w:t>
      </w:r>
      <w:r>
        <w:rPr>
          <w:rFonts w:eastAsia="方正仿宋_GBK"/>
          <w:color w:val="000000"/>
          <w:kern w:val="0"/>
          <w:sz w:val="32"/>
          <w:szCs w:val="32"/>
        </w:rPr>
        <w:t>年执</w:t>
      </w:r>
      <w:r>
        <w:rPr>
          <w:rFonts w:eastAsia="方正仿宋_GBK"/>
          <w:color w:val="000000"/>
          <w:sz w:val="32"/>
          <w:szCs w:val="32"/>
        </w:rPr>
        <w:t>行数</w:t>
      </w:r>
      <w:r>
        <w:rPr>
          <w:rFonts w:hint="eastAsia" w:eastAsia="方正仿宋_GBK"/>
          <w:color w:val="000000"/>
          <w:sz w:val="32"/>
          <w:szCs w:val="32"/>
        </w:rPr>
        <w:t>增加</w:t>
      </w:r>
      <w:r>
        <w:rPr>
          <w:rFonts w:eastAsia="方正仿宋_GBK"/>
          <w:color w:val="000000"/>
          <w:sz w:val="32"/>
          <w:szCs w:val="32"/>
        </w:rPr>
        <w:t>的项级支出科目为</w:t>
      </w:r>
      <w:r>
        <w:rPr>
          <w:rFonts w:hint="eastAsia" w:eastAsia="方正仿宋_GBK"/>
          <w:color w:val="000000"/>
          <w:sz w:val="32"/>
          <w:szCs w:val="32"/>
        </w:rPr>
        <w:t>2040204</w:t>
      </w:r>
      <w:r>
        <w:rPr>
          <w:rFonts w:eastAsia="方正仿宋_GBK"/>
          <w:color w:val="000000"/>
          <w:sz w:val="32"/>
          <w:szCs w:val="32"/>
        </w:rPr>
        <w:t>消防应急救援科目，202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143</w:t>
      </w:r>
      <w:r>
        <w:rPr>
          <w:rFonts w:eastAsia="方正仿宋_GBK"/>
          <w:color w:val="000000"/>
          <w:sz w:val="32"/>
          <w:szCs w:val="32"/>
        </w:rPr>
        <w:t>万元，比202</w:t>
      </w:r>
      <w:r>
        <w:rPr>
          <w:rFonts w:hint="eastAsia" w:eastAsia="方正仿宋_GBK"/>
          <w:color w:val="000000"/>
          <w:sz w:val="32"/>
          <w:szCs w:val="32"/>
        </w:rPr>
        <w:t>2</w:t>
      </w:r>
      <w:r>
        <w:rPr>
          <w:rFonts w:eastAsia="方正仿宋_GBK"/>
          <w:color w:val="000000"/>
          <w:sz w:val="32"/>
          <w:szCs w:val="32"/>
        </w:rPr>
        <w:t>年执行数</w:t>
      </w:r>
      <w:r>
        <w:rPr>
          <w:rFonts w:hint="eastAsia" w:eastAsia="方正仿宋_GBK"/>
          <w:color w:val="000000"/>
          <w:sz w:val="32"/>
          <w:szCs w:val="32"/>
        </w:rPr>
        <w:t>增加</w:t>
      </w:r>
      <w:r>
        <w:rPr>
          <w:rFonts w:hint="eastAsia" w:eastAsia="方正仿宋_GBK"/>
          <w:color w:val="000000"/>
          <w:sz w:val="32"/>
          <w:szCs w:val="32"/>
          <w:lang w:val="en-US" w:eastAsia="zh-CN"/>
        </w:rPr>
        <w:t>53</w:t>
      </w:r>
      <w:r>
        <w:rPr>
          <w:rFonts w:eastAsia="方正仿宋_GBK"/>
          <w:color w:val="000000"/>
          <w:sz w:val="32"/>
          <w:szCs w:val="32"/>
        </w:rPr>
        <w:t>万元，</w:t>
      </w:r>
      <w:r>
        <w:rPr>
          <w:rFonts w:hint="eastAsia" w:eastAsia="方正仿宋_GBK"/>
          <w:color w:val="000000"/>
          <w:sz w:val="32"/>
          <w:szCs w:val="32"/>
        </w:rPr>
        <w:t>增加</w:t>
      </w:r>
      <w:r>
        <w:rPr>
          <w:rFonts w:hint="eastAsia" w:eastAsia="方正仿宋_GBK"/>
          <w:color w:val="000000"/>
          <w:sz w:val="32"/>
          <w:szCs w:val="32"/>
          <w:lang w:val="en-US" w:eastAsia="zh-CN"/>
        </w:rPr>
        <w:t>58.89</w:t>
      </w:r>
      <w:r>
        <w:rPr>
          <w:rFonts w:eastAsia="方正仿宋_GBK"/>
          <w:color w:val="000000"/>
          <w:sz w:val="32"/>
          <w:szCs w:val="32"/>
        </w:rPr>
        <w:t>%，主要原因：</w:t>
      </w:r>
      <w:r>
        <w:rPr>
          <w:rFonts w:hint="eastAsia" w:eastAsia="方正仿宋_GBK"/>
          <w:color w:val="000000"/>
          <w:sz w:val="32"/>
          <w:szCs w:val="32"/>
        </w:rPr>
        <w:t>根据国家消防救援队伍</w:t>
      </w:r>
      <w:r>
        <w:rPr>
          <w:rFonts w:eastAsia="方正仿宋_GBK"/>
          <w:color w:val="000000"/>
          <w:sz w:val="32"/>
          <w:szCs w:val="32"/>
        </w:rPr>
        <w:t>基层消防救援人员伙食费</w:t>
      </w:r>
      <w:r>
        <w:rPr>
          <w:rFonts w:hint="eastAsia" w:eastAsia="方正仿宋_GBK"/>
          <w:color w:val="000000"/>
          <w:sz w:val="32"/>
          <w:szCs w:val="32"/>
        </w:rPr>
        <w:t>标准上调</w:t>
      </w:r>
      <w:r>
        <w:rPr>
          <w:rFonts w:eastAsia="方正仿宋_GBK"/>
          <w:color w:val="000000"/>
          <w:sz w:val="32"/>
          <w:szCs w:val="32"/>
        </w:rPr>
        <w:t>。按照支出功能分类，灾害防治及应急管理方面的支出</w:t>
      </w:r>
      <w:r>
        <w:rPr>
          <w:rFonts w:hint="eastAsia" w:eastAsia="方正仿宋_GBK"/>
          <w:color w:val="000000"/>
          <w:sz w:val="32"/>
          <w:szCs w:val="32"/>
        </w:rPr>
        <w:t>为</w:t>
      </w:r>
      <w:r>
        <w:rPr>
          <w:rFonts w:eastAsia="方正仿宋_GBK"/>
          <w:color w:val="000000"/>
          <w:sz w:val="32"/>
          <w:szCs w:val="32"/>
        </w:rPr>
        <w:t>部门支出总额，</w:t>
      </w:r>
      <w:r>
        <w:rPr>
          <w:rFonts w:hint="eastAsia" w:eastAsia="方正仿宋_GBK"/>
          <w:color w:val="000000"/>
          <w:sz w:val="32"/>
          <w:szCs w:val="32"/>
        </w:rPr>
        <w:t>全部</w:t>
      </w:r>
      <w:r>
        <w:rPr>
          <w:rFonts w:eastAsia="方正仿宋_GBK"/>
          <w:color w:val="000000"/>
          <w:sz w:val="32"/>
          <w:szCs w:val="32"/>
        </w:rPr>
        <w:t>是：22402消防事务科目，202</w:t>
      </w:r>
      <w:r>
        <w:rPr>
          <w:rFonts w:hint="eastAsia" w:eastAsia="方正仿宋_GBK"/>
          <w:color w:val="000000"/>
          <w:sz w:val="32"/>
          <w:szCs w:val="32"/>
        </w:rPr>
        <w:t>3</w:t>
      </w:r>
      <w:r>
        <w:rPr>
          <w:rFonts w:eastAsia="方正仿宋_GBK"/>
          <w:color w:val="000000"/>
          <w:sz w:val="32"/>
          <w:szCs w:val="32"/>
        </w:rPr>
        <w:t>年预算数为</w:t>
      </w:r>
      <w:r>
        <w:rPr>
          <w:rFonts w:hint="eastAsia" w:eastAsia="方正仿宋_GBK"/>
          <w:color w:val="000000"/>
          <w:sz w:val="32"/>
          <w:szCs w:val="32"/>
          <w:lang w:val="en-US" w:eastAsia="zh-CN"/>
        </w:rPr>
        <w:t>143</w:t>
      </w:r>
      <w:r>
        <w:rPr>
          <w:rFonts w:eastAsia="方正仿宋_GBK"/>
          <w:color w:val="000000"/>
          <w:sz w:val="32"/>
          <w:szCs w:val="32"/>
        </w:rPr>
        <w:t>万元，占一般公共预算支出的</w:t>
      </w:r>
      <w:r>
        <w:rPr>
          <w:rFonts w:hint="eastAsia" w:eastAsia="方正仿宋_GBK"/>
          <w:color w:val="000000"/>
          <w:sz w:val="32"/>
          <w:szCs w:val="32"/>
        </w:rPr>
        <w:t>100</w:t>
      </w:r>
      <w:r>
        <w:rPr>
          <w:rFonts w:eastAsia="方正仿宋_GBK"/>
          <w:color w:val="000000"/>
          <w:sz w:val="32"/>
          <w:szCs w:val="32"/>
        </w:rPr>
        <w:t>%，主要用于基层消防救援人员伙食费项目。</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lang w:val="en-US"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143</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53</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58.89</w:t>
      </w:r>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昌吉市消防救援大队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昌吉市消防救援大队</w:t>
      </w:r>
      <w:r>
        <w:rPr>
          <w:rFonts w:eastAsia="方正仿宋_GBK"/>
          <w:sz w:val="32"/>
          <w:szCs w:val="32"/>
        </w:rPr>
        <w:t>202</w:t>
      </w:r>
      <w:r>
        <w:rPr>
          <w:rFonts w:hint="eastAsia" w:eastAsia="方正仿宋_GBK"/>
          <w:sz w:val="32"/>
          <w:szCs w:val="32"/>
        </w:rPr>
        <w:t>3</w:t>
      </w:r>
      <w:r>
        <w:rPr>
          <w:rFonts w:eastAsia="方正仿宋_GBK"/>
          <w:sz w:val="32"/>
          <w:szCs w:val="32"/>
        </w:rPr>
        <w:t>年一般公共预算基本支出</w:t>
      </w:r>
      <w:r>
        <w:rPr>
          <w:rFonts w:hint="eastAsia" w:eastAsia="方正仿宋_GBK"/>
          <w:sz w:val="32"/>
          <w:szCs w:val="32"/>
        </w:rPr>
        <w:t>0</w:t>
      </w:r>
      <w:r>
        <w:rPr>
          <w:rFonts w:eastAsia="方正仿宋_GBK"/>
          <w:sz w:val="32"/>
          <w:szCs w:val="32"/>
        </w:rPr>
        <w:t>万元，其中：人员经费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日常公用经费</w:t>
      </w:r>
      <w:r>
        <w:rPr>
          <w:rFonts w:hint="eastAsia" w:eastAsia="方正仿宋_GBK"/>
          <w:sz w:val="32"/>
          <w:szCs w:val="32"/>
        </w:rPr>
        <w:t>0</w:t>
      </w:r>
      <w:r>
        <w:rPr>
          <w:rFonts w:eastAsia="方正仿宋_GBK"/>
          <w:sz w:val="32"/>
          <w:szCs w:val="32"/>
        </w:rPr>
        <w:t>万元</w:t>
      </w:r>
      <w:r>
        <w:rPr>
          <w:rFonts w:hint="eastAsia" w:eastAsia="方正仿宋_GBK"/>
          <w:sz w:val="32"/>
          <w:szCs w:val="32"/>
        </w:rPr>
        <w:t>。</w:t>
      </w:r>
      <w:r>
        <w:rPr>
          <w:rFonts w:eastAsia="方正仿宋_GBK"/>
          <w:sz w:val="32"/>
          <w:szCs w:val="32"/>
        </w:rPr>
        <w:t>202</w:t>
      </w:r>
      <w:r>
        <w:rPr>
          <w:rFonts w:hint="eastAsia" w:eastAsia="方正仿宋_GBK"/>
          <w:sz w:val="32"/>
          <w:szCs w:val="32"/>
        </w:rPr>
        <w:t>3</w:t>
      </w:r>
      <w:r>
        <w:rPr>
          <w:rFonts w:eastAsia="方正仿宋_GBK"/>
          <w:sz w:val="32"/>
          <w:szCs w:val="32"/>
        </w:rPr>
        <w:t>年一般公共经费预算与 202</w:t>
      </w:r>
      <w:r>
        <w:rPr>
          <w:rFonts w:hint="eastAsia" w:eastAsia="方正仿宋_GBK"/>
          <w:sz w:val="32"/>
          <w:szCs w:val="32"/>
        </w:rPr>
        <w:t>2</w:t>
      </w:r>
      <w:r>
        <w:rPr>
          <w:rFonts w:eastAsia="方正仿宋_GBK"/>
          <w:sz w:val="32"/>
          <w:szCs w:val="32"/>
        </w:rPr>
        <w:t>年持平。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default" w:ascii="Times New Roman" w:hAnsi="Times New Roman" w:eastAsia="方正黑体_GBK" w:cs="Times New Roman"/>
          <w:b w:val="0"/>
          <w:bCs w:val="0"/>
          <w:sz w:val="32"/>
          <w:szCs w:val="32"/>
          <w:highlight w:val="none"/>
          <w:lang w:val="en-US" w:eastAsia="zh-CN"/>
        </w:rPr>
        <w:t>昌吉市消防救援大队</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昌吉市消防救援大队</w:t>
      </w:r>
      <w:r>
        <w:rPr>
          <w:rFonts w:hint="default" w:ascii="Times New Roman" w:hAnsi="Times New Roman" w:eastAsia="仿宋_GB2312" w:cs="Times New Roman"/>
          <w:kern w:val="2"/>
          <w:sz w:val="32"/>
          <w:szCs w:val="30"/>
          <w:lang w:val="en-US" w:eastAsia="zh-CN" w:bidi="ar-SA"/>
        </w:rPr>
        <w:t>“三公”经费财政拨款预算为</w:t>
      </w:r>
      <w:r>
        <w:rPr>
          <w:rFonts w:hint="eastAsia"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default" w:ascii="Times New Roman" w:hAnsi="Times New Roman" w:eastAsia="方正黑体_GBK" w:cs="Times New Roman"/>
          <w:b w:val="0"/>
          <w:bCs w:val="0"/>
          <w:sz w:val="32"/>
          <w:szCs w:val="32"/>
          <w:lang w:val="en-US" w:eastAsia="zh-CN"/>
        </w:rPr>
        <w:t>昌吉市消防救援大队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年收支预算情况的总体</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说明</w:t>
      </w:r>
    </w:p>
    <w:p>
      <w:pPr>
        <w:spacing w:line="620" w:lineRule="exact"/>
        <w:ind w:firstLine="640" w:firstLineChars="200"/>
        <w:rPr>
          <w:rFonts w:eastAsia="方正仿宋_GBK"/>
          <w:sz w:val="32"/>
          <w:szCs w:val="32"/>
        </w:rPr>
      </w:pPr>
      <w:r>
        <w:rPr>
          <w:rFonts w:hint="eastAsia" w:eastAsia="方正仿宋_GBK"/>
          <w:sz w:val="32"/>
          <w:szCs w:val="32"/>
          <w:lang w:eastAsia="zh-CN"/>
        </w:rPr>
        <w:t>昌吉市</w:t>
      </w:r>
      <w:r>
        <w:rPr>
          <w:rFonts w:hint="eastAsia" w:eastAsia="方正仿宋_GBK"/>
          <w:sz w:val="32"/>
          <w:szCs w:val="32"/>
        </w:rPr>
        <w:t>消防救援大队</w:t>
      </w:r>
      <w:r>
        <w:rPr>
          <w:rFonts w:eastAsia="方正仿宋_GBK"/>
          <w:sz w:val="32"/>
          <w:szCs w:val="32"/>
        </w:rPr>
        <w:t>预算收入包括：一般公共预算拨款收入、上年结转；支出</w:t>
      </w:r>
      <w:r>
        <w:rPr>
          <w:rFonts w:hint="eastAsia" w:eastAsia="方正仿宋_GBK"/>
          <w:sz w:val="32"/>
          <w:szCs w:val="32"/>
        </w:rPr>
        <w:t>全部为</w:t>
      </w:r>
      <w:r>
        <w:rPr>
          <w:rFonts w:eastAsia="方正仿宋_GBK"/>
          <w:sz w:val="32"/>
          <w:szCs w:val="32"/>
        </w:rPr>
        <w:t>：灾害防治及应急管理支出。</w:t>
      </w:r>
      <w:r>
        <w:rPr>
          <w:rFonts w:hint="eastAsia" w:eastAsia="方正仿宋_GBK"/>
          <w:sz w:val="32"/>
          <w:szCs w:val="32"/>
          <w:lang w:eastAsia="zh-CN"/>
        </w:rPr>
        <w:t>昌吉市</w:t>
      </w:r>
      <w:r>
        <w:rPr>
          <w:rFonts w:hint="eastAsia" w:eastAsia="方正仿宋_GBK"/>
          <w:sz w:val="32"/>
          <w:szCs w:val="32"/>
        </w:rPr>
        <w:t>消防救援大队</w:t>
      </w:r>
      <w:r>
        <w:rPr>
          <w:rFonts w:eastAsia="方正仿宋_GBK"/>
          <w:sz w:val="32"/>
          <w:szCs w:val="32"/>
        </w:rPr>
        <w:t>202</w:t>
      </w:r>
      <w:r>
        <w:rPr>
          <w:rFonts w:hint="eastAsia" w:eastAsia="方正仿宋_GBK"/>
          <w:sz w:val="32"/>
          <w:szCs w:val="32"/>
        </w:rPr>
        <w:t>3</w:t>
      </w:r>
      <w:r>
        <w:rPr>
          <w:rFonts w:eastAsia="方正仿宋_GBK"/>
          <w:sz w:val="32"/>
          <w:szCs w:val="32"/>
        </w:rPr>
        <w:t>年收支总预算</w:t>
      </w:r>
      <w:r>
        <w:rPr>
          <w:rFonts w:hint="eastAsia" w:eastAsia="方正仿宋_GBK"/>
          <w:sz w:val="32"/>
          <w:szCs w:val="32"/>
          <w:lang w:val="en-US" w:eastAsia="zh-CN"/>
        </w:rPr>
        <w:t>157.74</w:t>
      </w:r>
      <w:r>
        <w:rPr>
          <w:rFonts w:eastAsia="方正仿宋_GBK"/>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default" w:ascii="Times New Roman" w:hAnsi="Times New Roman" w:eastAsia="方正黑体_GBK" w:cs="Times New Roman"/>
          <w:b w:val="0"/>
          <w:bCs w:val="0"/>
          <w:sz w:val="32"/>
          <w:szCs w:val="32"/>
          <w:lang w:val="en-US" w:eastAsia="zh-CN"/>
        </w:rPr>
        <w:t>昌吉市消防救援大队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eastAsia="仿宋_GB2312" w:cs="Times New Roman"/>
          <w:sz w:val="32"/>
          <w:szCs w:val="30"/>
          <w:lang w:val="en-US" w:eastAsia="zh-CN"/>
        </w:rPr>
        <w:t>昌吉市消防救援大队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eastAsia="仿宋_GB2312" w:cs="Times New Roman"/>
          <w:sz w:val="32"/>
          <w:szCs w:val="30"/>
          <w:lang w:val="en-US" w:eastAsia="zh-CN"/>
        </w:rPr>
        <w:t>157.74</w:t>
      </w:r>
      <w:r>
        <w:rPr>
          <w:rFonts w:hint="default" w:ascii="Times New Roman" w:hAnsi="Times New Roman" w:eastAsia="仿宋_GB2312" w:cs="Times New Roman"/>
          <w:sz w:val="32"/>
          <w:szCs w:val="30"/>
        </w:rPr>
        <w:t>万元，其中：上年结转</w:t>
      </w:r>
      <w:r>
        <w:rPr>
          <w:rFonts w:hint="eastAsia" w:eastAsia="仿宋_GB2312" w:cs="Times New Roman"/>
          <w:sz w:val="32"/>
          <w:szCs w:val="30"/>
          <w:lang w:val="en-US" w:eastAsia="zh-CN"/>
        </w:rPr>
        <w:t>14.74</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9.34</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w:t>
      </w:r>
      <w:r>
        <w:rPr>
          <w:rFonts w:eastAsia="方正仿宋_GBK"/>
          <w:sz w:val="32"/>
          <w:szCs w:val="32"/>
        </w:rPr>
        <w:t>主要原因</w:t>
      </w:r>
      <w:r>
        <w:rPr>
          <w:rFonts w:hint="eastAsia" w:eastAsia="方正仿宋_GBK"/>
          <w:sz w:val="32"/>
          <w:szCs w:val="32"/>
        </w:rPr>
        <w:t>是</w:t>
      </w:r>
      <w:r>
        <w:rPr>
          <w:rFonts w:eastAsia="方正仿宋_GBK"/>
          <w:color w:val="000000"/>
          <w:sz w:val="32"/>
          <w:szCs w:val="32"/>
        </w:rPr>
        <w:t>基层消防救援人员伙食费</w:t>
      </w:r>
      <w:r>
        <w:rPr>
          <w:rFonts w:hint="eastAsia" w:eastAsia="方正仿宋_GBK"/>
          <w:color w:val="000000"/>
          <w:sz w:val="32"/>
          <w:szCs w:val="32"/>
        </w:rPr>
        <w:t>标准上调后差额补贴</w:t>
      </w:r>
      <w:r>
        <w:rPr>
          <w:rFonts w:eastAsia="方正仿宋_GBK"/>
          <w:sz w:val="32"/>
          <w:szCs w:val="32"/>
        </w:rPr>
        <w:t>；一般公共预算拨款收入</w:t>
      </w:r>
      <w:r>
        <w:rPr>
          <w:rFonts w:hint="eastAsia" w:eastAsia="方正仿宋_GBK"/>
          <w:sz w:val="32"/>
          <w:szCs w:val="32"/>
          <w:lang w:val="en-US" w:eastAsia="zh-CN"/>
        </w:rPr>
        <w:t>143</w:t>
      </w:r>
      <w:r>
        <w:rPr>
          <w:rFonts w:eastAsia="方正仿宋_GBK"/>
          <w:sz w:val="32"/>
          <w:szCs w:val="32"/>
        </w:rPr>
        <w:t>万元，占</w:t>
      </w:r>
      <w:r>
        <w:rPr>
          <w:rFonts w:hint="eastAsia" w:eastAsia="方正仿宋_GBK"/>
          <w:sz w:val="32"/>
          <w:szCs w:val="32"/>
          <w:lang w:val="en-US" w:eastAsia="zh-CN"/>
        </w:rPr>
        <w:t>90.66</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default" w:ascii="Times New Roman" w:hAnsi="Times New Roman" w:eastAsia="方正黑体_GBK" w:cs="Times New Roman"/>
          <w:b w:val="0"/>
          <w:bCs w:val="0"/>
          <w:sz w:val="32"/>
          <w:szCs w:val="32"/>
          <w:lang w:val="en-US" w:eastAsia="zh-CN"/>
        </w:rPr>
        <w:t>昌吉市消防救援大队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spacing w:line="620" w:lineRule="exact"/>
        <w:ind w:firstLine="640" w:firstLineChars="200"/>
        <w:rPr>
          <w:rFonts w:eastAsia="方正仿宋_GBK"/>
          <w:color w:val="0000FF"/>
          <w:sz w:val="32"/>
          <w:szCs w:val="32"/>
        </w:rPr>
      </w:pPr>
      <w:r>
        <w:rPr>
          <w:rFonts w:hint="eastAsia" w:eastAsia="方正仿宋_GBK"/>
          <w:sz w:val="32"/>
          <w:szCs w:val="32"/>
          <w:lang w:eastAsia="zh-CN"/>
        </w:rPr>
        <w:t>昌吉市</w:t>
      </w:r>
      <w:r>
        <w:rPr>
          <w:rFonts w:hint="eastAsia" w:eastAsia="方正仿宋_GBK"/>
          <w:sz w:val="32"/>
          <w:szCs w:val="32"/>
        </w:rPr>
        <w:t>消防救援大队</w:t>
      </w:r>
      <w:r>
        <w:rPr>
          <w:rFonts w:eastAsia="方正仿宋_GBK"/>
          <w:sz w:val="32"/>
          <w:szCs w:val="32"/>
        </w:rPr>
        <w:t>202</w:t>
      </w:r>
      <w:r>
        <w:rPr>
          <w:rFonts w:hint="eastAsia" w:eastAsia="方正仿宋_GBK"/>
          <w:sz w:val="32"/>
          <w:szCs w:val="32"/>
        </w:rPr>
        <w:t>3</w:t>
      </w:r>
      <w:r>
        <w:rPr>
          <w:rFonts w:eastAsia="方正仿宋_GBK"/>
          <w:sz w:val="32"/>
          <w:szCs w:val="32"/>
        </w:rPr>
        <w:t>年支出预算</w:t>
      </w:r>
      <w:r>
        <w:rPr>
          <w:rFonts w:hint="eastAsia" w:eastAsia="方正仿宋_GBK"/>
          <w:sz w:val="32"/>
          <w:szCs w:val="32"/>
          <w:lang w:val="en-US" w:eastAsia="zh-CN"/>
        </w:rPr>
        <w:t>157.74</w:t>
      </w:r>
      <w:r>
        <w:rPr>
          <w:rFonts w:eastAsia="方正仿宋_GBK"/>
          <w:sz w:val="32"/>
          <w:szCs w:val="32"/>
        </w:rPr>
        <w:t>万元，其中：基本支出</w:t>
      </w:r>
      <w:r>
        <w:rPr>
          <w:rFonts w:hint="eastAsia" w:eastAsia="方正仿宋_GBK"/>
          <w:sz w:val="32"/>
          <w:szCs w:val="32"/>
        </w:rPr>
        <w:t>0</w:t>
      </w:r>
      <w:r>
        <w:rPr>
          <w:rFonts w:eastAsia="方正仿宋_GBK"/>
          <w:sz w:val="32"/>
          <w:szCs w:val="32"/>
        </w:rPr>
        <w:t>万元，占</w:t>
      </w:r>
      <w:r>
        <w:rPr>
          <w:rFonts w:hint="eastAsia" w:eastAsia="方正仿宋_GBK"/>
          <w:sz w:val="32"/>
          <w:szCs w:val="32"/>
        </w:rPr>
        <w:t>0</w:t>
      </w:r>
      <w:r>
        <w:rPr>
          <w:rFonts w:eastAsia="方正仿宋_GBK"/>
          <w:sz w:val="32"/>
          <w:szCs w:val="32"/>
        </w:rPr>
        <w:t>%；项目支出</w:t>
      </w:r>
      <w:r>
        <w:rPr>
          <w:rFonts w:hint="eastAsia" w:eastAsia="方正仿宋_GBK"/>
          <w:sz w:val="32"/>
          <w:szCs w:val="32"/>
          <w:lang w:val="en-US" w:eastAsia="zh-CN"/>
        </w:rPr>
        <w:t>157.74</w:t>
      </w:r>
      <w:r>
        <w:rPr>
          <w:rFonts w:eastAsia="方正仿宋_GBK"/>
          <w:sz w:val="32"/>
          <w:szCs w:val="32"/>
        </w:rPr>
        <w:t>万元，占</w:t>
      </w:r>
      <w:r>
        <w:rPr>
          <w:rFonts w:hint="eastAsia" w:eastAsia="方正仿宋_GBK"/>
          <w:sz w:val="32"/>
          <w:szCs w:val="32"/>
        </w:rPr>
        <w:t>100</w:t>
      </w:r>
      <w:r>
        <w:rPr>
          <w:rFonts w:eastAsia="方正仿宋_GBK"/>
          <w:sz w:val="32"/>
          <w:szCs w:val="32"/>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default" w:ascii="Times New Roman" w:hAnsi="Times New Roman" w:eastAsia="方正黑体_GBK" w:cs="Times New Roman"/>
          <w:b w:val="0"/>
          <w:bCs w:val="0"/>
          <w:sz w:val="32"/>
          <w:szCs w:val="32"/>
          <w:lang w:val="en-US" w:eastAsia="zh-CN"/>
        </w:rPr>
        <w:t>昌吉市消防救援大队</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eastAsia="方正仿宋_GBK"/>
          <w:sz w:val="32"/>
          <w:szCs w:val="32"/>
          <w:lang w:eastAsia="zh-CN"/>
        </w:rPr>
        <w:t>昌吉市</w:t>
      </w:r>
      <w:r>
        <w:rPr>
          <w:rFonts w:hint="eastAsia" w:eastAsia="方正仿宋_GBK"/>
          <w:sz w:val="32"/>
          <w:szCs w:val="32"/>
        </w:rPr>
        <w:t>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default" w:ascii="Times New Roman" w:hAnsi="Times New Roman" w:eastAsia="方正黑体_GBK" w:cs="Times New Roman"/>
          <w:b w:val="0"/>
          <w:bCs w:val="0"/>
          <w:sz w:val="32"/>
          <w:szCs w:val="32"/>
          <w:lang w:val="en-US" w:eastAsia="zh-CN"/>
        </w:rPr>
        <w:t>昌吉市消防救援大队</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eastAsia" w:eastAsia="方正仿宋_GBK"/>
          <w:sz w:val="32"/>
          <w:szCs w:val="32"/>
          <w:lang w:eastAsia="zh-CN"/>
        </w:rPr>
        <w:t>昌吉市</w:t>
      </w:r>
      <w:r>
        <w:rPr>
          <w:rFonts w:hint="eastAsia" w:eastAsia="方正仿宋_GBK"/>
          <w:sz w:val="32"/>
          <w:szCs w:val="32"/>
        </w:rPr>
        <w:t>消防救援大队</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万元，其中：政府采购货物预算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万元、政府采购工程预算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spacing w:line="600" w:lineRule="exact"/>
        <w:ind w:firstLine="640" w:firstLineChars="200"/>
        <w:rPr>
          <w:rFonts w:hint="default" w:ascii="Times New Roman" w:hAnsi="Times New Roman" w:eastAsia="仿宋_GB2312" w:cs="Times New Roman"/>
          <w:sz w:val="32"/>
          <w:szCs w:val="30"/>
          <w:highlight w:val="yellow"/>
        </w:rPr>
      </w:pPr>
      <w:r>
        <w:rPr>
          <w:rFonts w:hint="default" w:ascii="Times New Roman" w:hAnsi="Times New Roman" w:eastAsia="仿宋_GB2312" w:cs="Times New Roman"/>
          <w:sz w:val="32"/>
          <w:szCs w:val="30"/>
          <w:highlight w:val="none"/>
        </w:rPr>
        <w:t>截至20</w:t>
      </w:r>
      <w:r>
        <w:rPr>
          <w:rFonts w:hint="default" w:ascii="Times New Roman" w:hAnsi="Times New Roman" w:eastAsia="仿宋_GB2312" w:cs="Times New Roman"/>
          <w:sz w:val="32"/>
          <w:szCs w:val="30"/>
          <w:highlight w:val="none"/>
          <w:lang w:val="en-US" w:eastAsia="zh-CN"/>
        </w:rPr>
        <w:t>2</w:t>
      </w:r>
      <w:r>
        <w:rPr>
          <w:rFonts w:hint="eastAsia" w:ascii="Times New Roman" w:hAnsi="Times New Roman" w:eastAsia="仿宋_GB2312" w:cs="Times New Roman"/>
          <w:sz w:val="32"/>
          <w:szCs w:val="30"/>
          <w:highlight w:val="none"/>
          <w:lang w:val="en-US" w:eastAsia="zh-CN"/>
        </w:rPr>
        <w:t>2</w:t>
      </w:r>
      <w:r>
        <w:rPr>
          <w:rFonts w:hint="default" w:ascii="Times New Roman" w:hAnsi="Times New Roman" w:eastAsia="仿宋_GB2312" w:cs="Times New Roman"/>
          <w:sz w:val="32"/>
          <w:szCs w:val="30"/>
          <w:highlight w:val="none"/>
        </w:rPr>
        <w:t>年7月31日，</w:t>
      </w:r>
      <w:r>
        <w:rPr>
          <w:rFonts w:hint="eastAsia" w:ascii="Times New Roman" w:hAnsi="Times New Roman" w:eastAsia="仿宋_GB2312" w:cs="Times New Roman"/>
          <w:sz w:val="32"/>
          <w:szCs w:val="30"/>
          <w:highlight w:val="none"/>
          <w:lang w:val="en-US" w:eastAsia="zh-CN"/>
        </w:rPr>
        <w:t>昌吉市消防救援大队共有车辆32辆，其中，执法执勤车辆23辆、特种专业技术用车1辆、其他用车8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eastAsia="仿宋_GB2312" w:cs="Times New Roman"/>
          <w:sz w:val="32"/>
          <w:szCs w:val="30"/>
          <w:lang w:val="en-US" w:eastAsia="zh-CN"/>
        </w:rPr>
        <w:t>0</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eastAsia" w:eastAsia="仿宋_GB2312" w:cs="Times New Roman"/>
          <w:sz w:val="32"/>
          <w:szCs w:val="30"/>
          <w:lang w:eastAsia="zh-CN"/>
        </w:rPr>
        <w:t>昌吉市消防救援大队</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143</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1</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w:t>
      </w:r>
      <w:r>
        <w:rPr>
          <w:rFonts w:hint="eastAsia" w:eastAsia="仿宋_GB2312" w:cs="Times New Roman"/>
          <w:kern w:val="2"/>
          <w:sz w:val="32"/>
          <w:szCs w:val="30"/>
          <w:lang w:val="en-US" w:eastAsia="zh-CN" w:bidi="ar-SA"/>
        </w:rPr>
        <w:t>昌吉市消防救援大队</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143</w:t>
      </w:r>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bookmarkStart w:id="5" w:name="_GoBack"/>
      <w:bookmarkEnd w:id="5"/>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pPr w:leftFromText="180" w:rightFromText="180" w:vertAnchor="text" w:horzAnchor="page" w:tblpX="1469" w:tblpY="260"/>
        <w:tblOverlap w:val="never"/>
        <w:tblW w:w="9100" w:type="dxa"/>
        <w:tblInd w:w="0" w:type="dxa"/>
        <w:tblLayout w:type="autofit"/>
        <w:tblCellMar>
          <w:top w:w="0" w:type="dxa"/>
          <w:left w:w="0" w:type="dxa"/>
          <w:bottom w:w="0" w:type="dxa"/>
          <w:right w:w="0" w:type="dxa"/>
        </w:tblCellMar>
      </w:tblPr>
      <w:tblGrid>
        <w:gridCol w:w="510"/>
        <w:gridCol w:w="1162"/>
        <w:gridCol w:w="2028"/>
        <w:gridCol w:w="1280"/>
        <w:gridCol w:w="891"/>
        <w:gridCol w:w="2038"/>
        <w:gridCol w:w="1191"/>
      </w:tblGrid>
      <w:tr>
        <w:tblPrEx>
          <w:tblCellMar>
            <w:top w:w="0" w:type="dxa"/>
            <w:left w:w="0" w:type="dxa"/>
            <w:bottom w:w="0" w:type="dxa"/>
            <w:right w:w="0" w:type="dxa"/>
          </w:tblCellMar>
        </w:tblPrEx>
        <w:trPr>
          <w:trHeight w:val="854" w:hRule="atLeast"/>
        </w:trPr>
        <w:tc>
          <w:tcPr>
            <w:tcW w:w="91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23" w:hRule="atLeast"/>
        </w:trPr>
        <w:tc>
          <w:tcPr>
            <w:tcW w:w="91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83"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42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797" w:hRule="atLeast"/>
        </w:trPr>
        <w:tc>
          <w:tcPr>
            <w:tcW w:w="167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2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8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2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昌吉市消防救援大队</w:t>
            </w:r>
          </w:p>
        </w:tc>
      </w:tr>
      <w:tr>
        <w:tblPrEx>
          <w:tblCellMar>
            <w:top w:w="0" w:type="dxa"/>
            <w:left w:w="0" w:type="dxa"/>
            <w:bottom w:w="0" w:type="dxa"/>
            <w:right w:w="0" w:type="dxa"/>
          </w:tblCellMar>
        </w:tblPrEx>
        <w:trPr>
          <w:trHeight w:val="583" w:hRule="atLeast"/>
        </w:trPr>
        <w:tc>
          <w:tcPr>
            <w:tcW w:w="1672"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157.74</w:t>
            </w:r>
          </w:p>
        </w:tc>
        <w:tc>
          <w:tcPr>
            <w:tcW w:w="1191" w:type="dxa"/>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143.00</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14.74</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83" w:hRule="atLeast"/>
        </w:trPr>
        <w:tc>
          <w:tcPr>
            <w:tcW w:w="1672"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0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29"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191" w:type="dxa"/>
            <w:vMerge w:val="continue"/>
            <w:tcBorders>
              <w:left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23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59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797" w:hRule="atLeast"/>
        </w:trPr>
        <w:tc>
          <w:tcPr>
            <w:tcW w:w="51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83"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654"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71"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3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19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187" w:hRule="atLeast"/>
        </w:trPr>
        <w:tc>
          <w:tcPr>
            <w:tcW w:w="51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7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1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50C63CF"/>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F57678"/>
    <w:rsid w:val="11FE4A9B"/>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A135F96"/>
    <w:rsid w:val="1A1A683B"/>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61D32C2"/>
    <w:rsid w:val="26A8510F"/>
    <w:rsid w:val="271A69DB"/>
    <w:rsid w:val="28685CFD"/>
    <w:rsid w:val="28FE4558"/>
    <w:rsid w:val="290C0B98"/>
    <w:rsid w:val="29141705"/>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EF5392C"/>
    <w:rsid w:val="3FC40C6B"/>
    <w:rsid w:val="3FDC7D34"/>
    <w:rsid w:val="405415CD"/>
    <w:rsid w:val="40FA4656"/>
    <w:rsid w:val="411F03C0"/>
    <w:rsid w:val="41913B31"/>
    <w:rsid w:val="41B761E1"/>
    <w:rsid w:val="42387BAB"/>
    <w:rsid w:val="430A3435"/>
    <w:rsid w:val="432D5990"/>
    <w:rsid w:val="44271EF9"/>
    <w:rsid w:val="443F5AC6"/>
    <w:rsid w:val="44E027F3"/>
    <w:rsid w:val="44E55A75"/>
    <w:rsid w:val="450A021D"/>
    <w:rsid w:val="45A14D22"/>
    <w:rsid w:val="46100B63"/>
    <w:rsid w:val="46825774"/>
    <w:rsid w:val="470E153E"/>
    <w:rsid w:val="47161B18"/>
    <w:rsid w:val="47193DC6"/>
    <w:rsid w:val="488B3DDF"/>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0</c:v>
                </c:pt>
                <c:pt idx="1">
                  <c:v>0</c:v>
                </c:pt>
                <c:pt idx="2">
                  <c:v>0</c:v>
                </c:pt>
                <c:pt idx="3">
                  <c:v>157.74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0</c:v>
                </c:pt>
                <c:pt idx="1">
                  <c:v>0</c:v>
                </c:pt>
                <c:pt idx="2">
                  <c:v>157.74</c:v>
                </c:pt>
                <c:pt idx="3">
                  <c:v>0</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4</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2023-07-25T09:35:08Z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